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A9DCB">
      <w:pPr>
        <w:spacing w:line="594" w:lineRule="exact"/>
        <w:jc w:val="left"/>
        <w:rPr>
          <w:rFonts w:eastAsia="黑体"/>
          <w:bCs/>
          <w:kern w:val="0"/>
          <w:szCs w:val="32"/>
        </w:rPr>
      </w:pPr>
      <w:bookmarkStart w:id="1" w:name="_GoBack"/>
      <w:bookmarkEnd w:id="1"/>
      <w:bookmarkStart w:id="0" w:name="RANGE!A1:G4"/>
      <w:r>
        <w:rPr>
          <w:rFonts w:eastAsia="黑体"/>
          <w:bCs/>
          <w:kern w:val="0"/>
          <w:szCs w:val="32"/>
        </w:rPr>
        <w:t>附件3</w:t>
      </w:r>
      <w:bookmarkEnd w:id="0"/>
    </w:p>
    <w:p w14:paraId="1DD9A045">
      <w:pPr>
        <w:spacing w:line="594" w:lineRule="exact"/>
        <w:jc w:val="center"/>
        <w:rPr>
          <w:rFonts w:hint="eastAsia" w:eastAsia="方正小标宋简体"/>
          <w:kern w:val="0"/>
          <w:sz w:val="44"/>
          <w:szCs w:val="44"/>
        </w:rPr>
      </w:pPr>
      <w:r>
        <w:rPr>
          <w:rFonts w:hint="eastAsia" w:ascii="黑体" w:hAnsi="黑体" w:eastAsia="黑体" w:cs="黑体"/>
          <w:kern w:val="0"/>
          <w:sz w:val="44"/>
          <w:szCs w:val="44"/>
        </w:rPr>
        <w:t>2022年度部门整体支出绩效报告</w:t>
      </w:r>
    </w:p>
    <w:p w14:paraId="2DF3BBA2">
      <w:pPr>
        <w:spacing w:line="594" w:lineRule="exact"/>
        <w:jc w:val="center"/>
        <w:rPr>
          <w:rFonts w:eastAsia="楷体_GB2312"/>
          <w:kern w:val="0"/>
          <w:szCs w:val="32"/>
        </w:rPr>
      </w:pPr>
      <w:r>
        <w:rPr>
          <w:rFonts w:eastAsia="楷体_GB2312"/>
          <w:kern w:val="0"/>
          <w:szCs w:val="32"/>
        </w:rPr>
        <w:t>（</w:t>
      </w:r>
      <w:r>
        <w:rPr>
          <w:rFonts w:hint="eastAsia" w:eastAsia="楷体_GB2312"/>
          <w:kern w:val="0"/>
          <w:szCs w:val="32"/>
          <w:lang w:val="en-US" w:eastAsia="zh-CN"/>
        </w:rPr>
        <w:t>县工商联</w:t>
      </w:r>
      <w:r>
        <w:rPr>
          <w:rFonts w:eastAsia="楷体_GB2312"/>
          <w:kern w:val="0"/>
          <w:szCs w:val="32"/>
        </w:rPr>
        <w:t>）</w:t>
      </w:r>
    </w:p>
    <w:p w14:paraId="1A4561AF">
      <w:pPr>
        <w:spacing w:line="594" w:lineRule="exact"/>
        <w:jc w:val="left"/>
        <w:rPr>
          <w:rFonts w:eastAsia="黑体"/>
          <w:kern w:val="0"/>
          <w:szCs w:val="32"/>
        </w:rPr>
      </w:pPr>
      <w:r>
        <w:rPr>
          <w:kern w:val="0"/>
          <w:szCs w:val="32"/>
        </w:rPr>
        <w:t xml:space="preserve">   </w:t>
      </w:r>
      <w:r>
        <w:rPr>
          <w:rFonts w:eastAsia="黑体"/>
          <w:bCs/>
          <w:kern w:val="0"/>
          <w:szCs w:val="32"/>
        </w:rPr>
        <w:t xml:space="preserve"> 一、部门概况</w:t>
      </w:r>
    </w:p>
    <w:p w14:paraId="01EB5CD6">
      <w:pPr>
        <w:spacing w:line="594" w:lineRule="exact"/>
        <w:ind w:firstLine="640" w:firstLineChars="200"/>
        <w:rPr>
          <w:kern w:val="0"/>
          <w:szCs w:val="32"/>
        </w:rPr>
      </w:pPr>
      <w:r>
        <w:rPr>
          <w:kern w:val="0"/>
          <w:szCs w:val="32"/>
        </w:rPr>
        <w:t>（一）部门基本情况（包括部门的在职人员情况、机构设置、主要职能及重点工作计划等）。</w:t>
      </w:r>
    </w:p>
    <w:p w14:paraId="0BAED5AB">
      <w:pPr>
        <w:snapToGrid w:val="0"/>
        <w:spacing w:line="520" w:lineRule="exact"/>
        <w:ind w:firstLine="640" w:firstLineChars="200"/>
        <w:rPr>
          <w:rFonts w:hint="eastAsia" w:ascii="仿宋_GB2312" w:hAnsi="仿宋" w:eastAsia="仿宋_GB2312"/>
          <w:sz w:val="32"/>
          <w:szCs w:val="32"/>
        </w:rPr>
      </w:pPr>
      <w:r>
        <w:rPr>
          <w:rFonts w:hint="eastAsia" w:ascii="仿宋_GB2312" w:hAnsi="仿宋"/>
          <w:sz w:val="32"/>
          <w:szCs w:val="32"/>
          <w:lang w:val="en-US" w:eastAsia="zh-CN"/>
        </w:rPr>
        <w:t>1.</w:t>
      </w:r>
      <w:r>
        <w:rPr>
          <w:rFonts w:hint="eastAsia" w:ascii="仿宋_GB2312" w:hAnsi="仿宋" w:eastAsia="仿宋_GB2312"/>
          <w:sz w:val="32"/>
          <w:szCs w:val="32"/>
        </w:rPr>
        <w:t>主要职能</w:t>
      </w:r>
    </w:p>
    <w:p w14:paraId="48B9F909">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（1）拟定全县工商联工作计划，并具体负责组织实施，指导基层商会、行业协会工作。 </w:t>
      </w:r>
    </w:p>
    <w:p w14:paraId="790BD71C">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（2）参加全县大政方针及重要问题的政治协商，发挥民主监督的作用，积极参政议政。 </w:t>
      </w:r>
    </w:p>
    <w:p w14:paraId="4D60B7CF">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（3）协助政府管理和服务非公有制经济，引导非公有制经济健康发展，为非公有制企业提供市场、技术、商品等信息和科技、管理、法律、会计、审计、金融、咨询等服务。 </w:t>
      </w:r>
    </w:p>
    <w:p w14:paraId="5D3217A3">
      <w:pPr>
        <w:snapToGrid w:val="0"/>
        <w:spacing w:line="520"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负责做好非公有制经济人士思想政治工作，引导非公有制经济人士健康成长，培养非公有制经济人士特别是年轻一代拥护党的领导、走中国特色社会主义道路，践行社会主义核心价值观。引导会员弘扬中华民族传统美德，先富帮后富，走共同富裕的道路，热心社会公益事业。做好非公经济代表人士政治安排的推荐工作。</w:t>
      </w:r>
    </w:p>
    <w:p w14:paraId="551FBF91">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5）负责会员的发展、联络工作，加强对所属基层商会、行业协会组织的指导、引导和服务；推动构建新型“亲清”政商关系，规范会员行为自律，引导非公有制经济人士依法诚信经营，了解反映非公有制企业诉求，维护其合法权益。 </w:t>
      </w:r>
    </w:p>
    <w:p w14:paraId="00F2B54F">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6）负责指导、引导、协调和服务异地安化商会，联络异地安化商会及县域外安化籍企业家，宣传动员异地安化商会参与“迎老乡、回故乡、建家乡”重大战略，收集招商引资信息，协助政府举办有关异地安商的大型活动和安化有关部门外出开展考察调研、招商引资活动，推动安化籍企业家返乡投资创业，开展助学助残等公益慈善活动。 </w:t>
      </w:r>
    </w:p>
    <w:p w14:paraId="593748B4">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（7）负责所属商会协会党组织建设工作，做好发展党员和党员教育管理服务工作。</w:t>
      </w:r>
    </w:p>
    <w:p w14:paraId="30DABD06">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（8）引导会员弘扬中华民族传统美德，先富帮后富，走共同富裕的道路，热心社会公益事业。 </w:t>
      </w:r>
    </w:p>
    <w:p w14:paraId="0CB1BAA4">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（9）开展培训，帮助会员改善经营管理、完善财会管理、提高生产技术和产品质量。 </w:t>
      </w:r>
    </w:p>
    <w:p w14:paraId="69FF56A9">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（10）按国家规定和有关政策，组织会员举办和参加各种对内对外展销会、交易会，组织会员出国（境）考察访问，帮助会员开拓国内、国际市场。 </w:t>
      </w:r>
    </w:p>
    <w:p w14:paraId="22D3B039">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（11）做好原工商业者思想教育和走访慰问工作。 </w:t>
      </w:r>
    </w:p>
    <w:p w14:paraId="3022CEE5">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（12）完成县委、县人民政府交办的其他任务。</w:t>
      </w:r>
    </w:p>
    <w:p w14:paraId="3DDC4202">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w:t>
      </w:r>
      <w:r>
        <w:rPr>
          <w:rFonts w:hint="eastAsia" w:ascii="仿宋_GB2312" w:hAnsi="仿宋" w:cs="Times New Roman"/>
          <w:sz w:val="32"/>
          <w:szCs w:val="32"/>
          <w:lang w:val="en-US" w:eastAsia="zh-CN"/>
        </w:rPr>
        <w:t>.</w:t>
      </w:r>
      <w:r>
        <w:rPr>
          <w:rFonts w:hint="eastAsia" w:ascii="仿宋_GB2312" w:hAnsi="仿宋" w:eastAsia="仿宋_GB2312" w:cs="Times New Roman"/>
          <w:sz w:val="32"/>
          <w:szCs w:val="32"/>
          <w:lang w:val="en-US" w:eastAsia="zh-CN"/>
        </w:rPr>
        <w:t>机构情况</w:t>
      </w:r>
    </w:p>
    <w:p w14:paraId="71F76D23">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安化县工商业联合会内设机构包括：安化县工商业联合会单位内设机构包括：办公室、会员联络部和非公企业服务中心。</w:t>
      </w:r>
    </w:p>
    <w:p w14:paraId="73F7380E">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3.人员情况</w:t>
      </w:r>
    </w:p>
    <w:p w14:paraId="066401E1">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核定编制6人，其中行政编制4人，事业编制2人。</w:t>
      </w:r>
    </w:p>
    <w:p w14:paraId="356C51F9">
      <w:pPr>
        <w:numPr>
          <w:ilvl w:val="0"/>
          <w:numId w:val="0"/>
        </w:numPr>
        <w:spacing w:line="594" w:lineRule="exact"/>
        <w:ind w:firstLine="640" w:firstLineChars="200"/>
      </w:pPr>
      <w:r>
        <w:rPr>
          <w:rFonts w:hint="eastAsia"/>
          <w:kern w:val="0"/>
          <w:szCs w:val="32"/>
          <w:lang w:eastAsia="zh-CN"/>
        </w:rPr>
        <w:t>（</w:t>
      </w:r>
      <w:r>
        <w:rPr>
          <w:rFonts w:hint="eastAsia"/>
          <w:kern w:val="0"/>
          <w:szCs w:val="32"/>
          <w:lang w:val="en-US" w:eastAsia="zh-CN"/>
        </w:rPr>
        <w:t>二</w:t>
      </w:r>
      <w:r>
        <w:rPr>
          <w:rFonts w:hint="eastAsia"/>
          <w:kern w:val="0"/>
          <w:szCs w:val="32"/>
          <w:lang w:eastAsia="zh-CN"/>
        </w:rPr>
        <w:t>）</w:t>
      </w:r>
      <w:r>
        <w:rPr>
          <w:kern w:val="0"/>
          <w:szCs w:val="32"/>
        </w:rPr>
        <w:t>部门整体支出规模、使用方向和主要内容、涉及范围等。</w:t>
      </w:r>
    </w:p>
    <w:p w14:paraId="5B0718E2">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2022</w:t>
      </w:r>
      <w:r>
        <w:rPr>
          <w:rFonts w:hint="eastAsia" w:ascii="仿宋_GB2312" w:hAnsi="仿宋" w:eastAsia="仿宋_GB2312" w:cs="Times New Roman"/>
          <w:sz w:val="32"/>
          <w:szCs w:val="32"/>
          <w:lang w:val="en-US" w:eastAsia="zh-CN"/>
        </w:rPr>
        <w:t>年度支出合计</w:t>
      </w:r>
      <w:r>
        <w:rPr>
          <w:rFonts w:hint="default" w:ascii="仿宋_GB2312" w:hAnsi="仿宋" w:eastAsia="仿宋_GB2312" w:cs="Times New Roman"/>
          <w:sz w:val="32"/>
          <w:szCs w:val="32"/>
          <w:lang w:val="en-US" w:eastAsia="zh-CN"/>
        </w:rPr>
        <w:t>146.17</w:t>
      </w:r>
      <w:r>
        <w:rPr>
          <w:rFonts w:hint="eastAsia" w:ascii="仿宋_GB2312" w:hAnsi="仿宋" w:eastAsia="仿宋_GB2312" w:cs="Times New Roman"/>
          <w:sz w:val="32"/>
          <w:szCs w:val="32"/>
          <w:lang w:val="en-US" w:eastAsia="zh-CN"/>
        </w:rPr>
        <w:t>万元，其中：基本支出</w:t>
      </w:r>
      <w:r>
        <w:rPr>
          <w:rFonts w:hint="default" w:ascii="仿宋_GB2312" w:hAnsi="仿宋" w:eastAsia="仿宋_GB2312" w:cs="Times New Roman"/>
          <w:sz w:val="32"/>
          <w:szCs w:val="32"/>
          <w:lang w:val="en-US" w:eastAsia="zh-CN"/>
        </w:rPr>
        <w:t>97.62</w:t>
      </w:r>
      <w:r>
        <w:rPr>
          <w:rFonts w:hint="eastAsia" w:ascii="仿宋_GB2312" w:hAnsi="仿宋" w:eastAsia="仿宋_GB2312" w:cs="Times New Roman"/>
          <w:sz w:val="32"/>
          <w:szCs w:val="32"/>
          <w:lang w:val="en-US" w:eastAsia="zh-CN"/>
        </w:rPr>
        <w:t>万元，占</w:t>
      </w:r>
      <w:r>
        <w:rPr>
          <w:rFonts w:hint="default" w:ascii="仿宋_GB2312" w:hAnsi="仿宋" w:eastAsia="仿宋_GB2312" w:cs="Times New Roman"/>
          <w:sz w:val="32"/>
          <w:szCs w:val="32"/>
          <w:lang w:val="en-US" w:eastAsia="zh-CN"/>
        </w:rPr>
        <w:t>66.79%</w:t>
      </w:r>
      <w:r>
        <w:rPr>
          <w:rFonts w:hint="eastAsia" w:ascii="仿宋_GB2312" w:hAnsi="仿宋" w:eastAsia="仿宋_GB2312" w:cs="Times New Roman"/>
          <w:sz w:val="32"/>
          <w:szCs w:val="32"/>
          <w:lang w:val="en-US" w:eastAsia="zh-CN"/>
        </w:rPr>
        <w:t>；项目支出</w:t>
      </w:r>
      <w:r>
        <w:rPr>
          <w:rFonts w:hint="default" w:ascii="仿宋_GB2312" w:hAnsi="仿宋" w:eastAsia="仿宋_GB2312" w:cs="Times New Roman"/>
          <w:sz w:val="32"/>
          <w:szCs w:val="32"/>
          <w:lang w:val="en-US" w:eastAsia="zh-CN"/>
        </w:rPr>
        <w:t>48.55</w:t>
      </w:r>
      <w:r>
        <w:rPr>
          <w:rFonts w:hint="eastAsia" w:ascii="仿宋_GB2312" w:hAnsi="仿宋" w:eastAsia="仿宋_GB2312" w:cs="Times New Roman"/>
          <w:sz w:val="32"/>
          <w:szCs w:val="32"/>
          <w:lang w:val="en-US" w:eastAsia="zh-CN"/>
        </w:rPr>
        <w:t>万元，占</w:t>
      </w:r>
      <w:r>
        <w:rPr>
          <w:rFonts w:hint="default" w:ascii="仿宋_GB2312" w:hAnsi="仿宋" w:eastAsia="仿宋_GB2312" w:cs="Times New Roman"/>
          <w:sz w:val="32"/>
          <w:szCs w:val="32"/>
          <w:lang w:val="en-US" w:eastAsia="zh-CN"/>
        </w:rPr>
        <w:t>33.21%</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2022</w:t>
      </w:r>
      <w:r>
        <w:rPr>
          <w:rFonts w:hint="eastAsia" w:ascii="仿宋_GB2312" w:hAnsi="仿宋" w:eastAsia="仿宋_GB2312" w:cs="Times New Roman"/>
          <w:sz w:val="32"/>
          <w:szCs w:val="32"/>
          <w:lang w:val="en-US" w:eastAsia="zh-CN"/>
        </w:rPr>
        <w:t>年度财政拨款支出</w:t>
      </w:r>
      <w:r>
        <w:rPr>
          <w:rFonts w:hint="default" w:ascii="仿宋_GB2312" w:hAnsi="仿宋" w:eastAsia="仿宋_GB2312" w:cs="Times New Roman"/>
          <w:sz w:val="32"/>
          <w:szCs w:val="32"/>
          <w:lang w:val="en-US" w:eastAsia="zh-CN"/>
        </w:rPr>
        <w:t>135.17</w:t>
      </w:r>
      <w:r>
        <w:rPr>
          <w:rFonts w:hint="eastAsia" w:ascii="仿宋_GB2312" w:hAnsi="仿宋" w:eastAsia="仿宋_GB2312" w:cs="Times New Roman"/>
          <w:sz w:val="32"/>
          <w:szCs w:val="32"/>
          <w:lang w:val="en-US" w:eastAsia="zh-CN"/>
        </w:rPr>
        <w:t>万元，占本年支出合计的</w:t>
      </w:r>
      <w:r>
        <w:rPr>
          <w:rFonts w:hint="default" w:ascii="仿宋_GB2312" w:hAnsi="仿宋" w:eastAsia="仿宋_GB2312" w:cs="Times New Roman"/>
          <w:sz w:val="32"/>
          <w:szCs w:val="32"/>
          <w:lang w:val="en-US" w:eastAsia="zh-CN"/>
        </w:rPr>
        <w:t>92.47%</w:t>
      </w:r>
      <w:r>
        <w:rPr>
          <w:rFonts w:hint="eastAsia" w:ascii="仿宋_GB2312" w:hAnsi="仿宋" w:eastAsia="仿宋_GB2312" w:cs="Times New Roman"/>
          <w:sz w:val="32"/>
          <w:szCs w:val="32"/>
          <w:lang w:val="en-US" w:eastAsia="zh-CN"/>
        </w:rPr>
        <w:t>，主要用于以下方面：一般公共服务支出</w:t>
      </w:r>
      <w:r>
        <w:rPr>
          <w:rFonts w:hint="default" w:ascii="仿宋_GB2312" w:hAnsi="仿宋" w:eastAsia="仿宋_GB2312" w:cs="Times New Roman"/>
          <w:sz w:val="32"/>
          <w:szCs w:val="32"/>
          <w:lang w:val="en-US" w:eastAsia="zh-CN"/>
        </w:rPr>
        <w:t>122.37</w:t>
      </w:r>
      <w:r>
        <w:rPr>
          <w:rFonts w:hint="eastAsia" w:ascii="仿宋_GB2312" w:hAnsi="仿宋" w:eastAsia="仿宋_GB2312" w:cs="Times New Roman"/>
          <w:sz w:val="32"/>
          <w:szCs w:val="32"/>
          <w:lang w:val="en-US" w:eastAsia="zh-CN"/>
        </w:rPr>
        <w:t>万元，占</w:t>
      </w:r>
      <w:r>
        <w:rPr>
          <w:rFonts w:hint="default" w:ascii="仿宋_GB2312" w:hAnsi="仿宋" w:eastAsia="仿宋_GB2312" w:cs="Times New Roman"/>
          <w:sz w:val="32"/>
          <w:szCs w:val="32"/>
          <w:lang w:val="en-US" w:eastAsia="zh-CN"/>
        </w:rPr>
        <w:t>90.53%</w:t>
      </w:r>
      <w:r>
        <w:rPr>
          <w:rFonts w:hint="eastAsia" w:ascii="仿宋_GB2312" w:hAnsi="仿宋" w:eastAsia="仿宋_GB2312" w:cs="Times New Roman"/>
          <w:sz w:val="32"/>
          <w:szCs w:val="32"/>
          <w:lang w:val="en-US" w:eastAsia="zh-CN"/>
        </w:rPr>
        <w:t>；社会保障和就业支出</w:t>
      </w:r>
      <w:r>
        <w:rPr>
          <w:rFonts w:hint="default" w:ascii="仿宋_GB2312" w:hAnsi="仿宋" w:eastAsia="仿宋_GB2312" w:cs="Times New Roman"/>
          <w:sz w:val="32"/>
          <w:szCs w:val="32"/>
          <w:lang w:val="en-US" w:eastAsia="zh-CN"/>
        </w:rPr>
        <w:t>6.11</w:t>
      </w:r>
      <w:r>
        <w:rPr>
          <w:rFonts w:hint="eastAsia" w:ascii="仿宋_GB2312" w:hAnsi="仿宋" w:eastAsia="仿宋_GB2312" w:cs="Times New Roman"/>
          <w:sz w:val="32"/>
          <w:szCs w:val="32"/>
          <w:lang w:val="en-US" w:eastAsia="zh-CN"/>
        </w:rPr>
        <w:t>万元，占</w:t>
      </w:r>
      <w:r>
        <w:rPr>
          <w:rFonts w:hint="default" w:ascii="仿宋_GB2312" w:hAnsi="仿宋" w:eastAsia="仿宋_GB2312" w:cs="Times New Roman"/>
          <w:sz w:val="32"/>
          <w:szCs w:val="32"/>
          <w:lang w:val="en-US" w:eastAsia="zh-CN"/>
        </w:rPr>
        <w:t>4.52%;</w:t>
      </w:r>
      <w:r>
        <w:rPr>
          <w:rFonts w:hint="eastAsia" w:ascii="仿宋_GB2312" w:hAnsi="仿宋" w:eastAsia="仿宋_GB2312" w:cs="Times New Roman"/>
          <w:sz w:val="32"/>
          <w:szCs w:val="32"/>
          <w:lang w:val="en-US" w:eastAsia="zh-CN"/>
        </w:rPr>
        <w:t>卫生健康支出</w:t>
      </w:r>
      <w:r>
        <w:rPr>
          <w:rFonts w:hint="default" w:ascii="仿宋_GB2312" w:hAnsi="仿宋" w:eastAsia="仿宋_GB2312" w:cs="Times New Roman"/>
          <w:sz w:val="32"/>
          <w:szCs w:val="32"/>
          <w:lang w:val="en-US" w:eastAsia="zh-CN"/>
        </w:rPr>
        <w:t>2.48</w:t>
      </w:r>
      <w:r>
        <w:rPr>
          <w:rFonts w:hint="eastAsia" w:ascii="仿宋_GB2312" w:hAnsi="仿宋" w:eastAsia="仿宋_GB2312" w:cs="Times New Roman"/>
          <w:sz w:val="32"/>
          <w:szCs w:val="32"/>
          <w:lang w:val="en-US" w:eastAsia="zh-CN"/>
        </w:rPr>
        <w:t>万元，占</w:t>
      </w:r>
      <w:r>
        <w:rPr>
          <w:rFonts w:hint="default" w:ascii="仿宋_GB2312" w:hAnsi="仿宋" w:eastAsia="仿宋_GB2312" w:cs="Times New Roman"/>
          <w:sz w:val="32"/>
          <w:szCs w:val="32"/>
          <w:lang w:val="en-US" w:eastAsia="zh-CN"/>
        </w:rPr>
        <w:t>1.83%</w:t>
      </w:r>
      <w:r>
        <w:rPr>
          <w:rFonts w:hint="eastAsia" w:ascii="仿宋_GB2312" w:hAnsi="仿宋" w:eastAsia="仿宋_GB2312" w:cs="Times New Roman"/>
          <w:sz w:val="32"/>
          <w:szCs w:val="32"/>
          <w:lang w:val="en-US" w:eastAsia="zh-CN"/>
        </w:rPr>
        <w:t>；住房保障支出4.22万元，占3.12%。</w:t>
      </w:r>
    </w:p>
    <w:p w14:paraId="6EF4EE28">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（三）绩效目标设立情况，主要包括部门中长期绩效目标和年度绩效目标。</w:t>
      </w:r>
    </w:p>
    <w:p w14:paraId="0E4CBCE5">
      <w:pPr>
        <w:keepNext w:val="0"/>
        <w:keepLines w:val="0"/>
        <w:widowControl/>
        <w:suppressLineNumbers w:val="0"/>
        <w:ind w:firstLine="640" w:firstLineChars="200"/>
        <w:jc w:val="left"/>
        <w:rPr>
          <w:rFonts w:hint="eastAsia" w:ascii="仿宋_GB2312" w:hAnsi="仿宋" w:cs="Times New Roman"/>
          <w:sz w:val="32"/>
          <w:szCs w:val="32"/>
          <w:lang w:val="en-US" w:eastAsia="zh-CN"/>
        </w:rPr>
      </w:pPr>
      <w:r>
        <w:rPr>
          <w:rFonts w:hint="eastAsia" w:ascii="仿宋_GB2312" w:hAnsi="仿宋" w:eastAsia="仿宋_GB2312" w:cs="Times New Roman"/>
          <w:sz w:val="32"/>
          <w:szCs w:val="32"/>
          <w:lang w:val="en-US" w:eastAsia="zh-CN"/>
        </w:rPr>
        <w:t xml:space="preserve">绩效目标：一是加强对所属基层商会、行业协会组织的指导、引导和服务，做好非公有制经济人士思想政治工作，引导非公有制经济人士健康成长，培养非公有制经济人士特别是年轻一代拥护党的领导、走中国特色社会主义道路，践行社会主义核心价值观；二是联络异地安化商会及县域外安化籍企业家，宣传动员异地安化商会参与“迎老乡、回故乡、建家乡”重大战略，收集招商引资信息，协助政府举办有关异地安商的大型活动和安化有关部门外出开展考察调研、招商引资活动，推动安化籍企业家返乡投资创业，开展助学助残等公益慈善活动。  </w:t>
      </w:r>
      <w:r>
        <w:rPr>
          <w:rFonts w:hint="eastAsia" w:ascii="仿宋_GB2312" w:hAnsi="仿宋" w:cs="Times New Roman"/>
          <w:sz w:val="32"/>
          <w:szCs w:val="32"/>
          <w:lang w:val="en-US" w:eastAsia="zh-CN"/>
        </w:rPr>
        <w:t xml:space="preserve">  </w:t>
      </w:r>
    </w:p>
    <w:p w14:paraId="7B5F9035">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根据绩效评价的要求，我们成立了自评工作领导小组，对照自评方案进行研究和布署，党组成员、机关各股室全程参与，按照自评方案的要求，对照各实施项目的内容逐条逐项自评。在自评过程发现问题，查找原因，及时纠正偏差，为下一步工作夯实基础。</w:t>
      </w:r>
    </w:p>
    <w:p w14:paraId="1C088B20">
      <w:pPr>
        <w:spacing w:line="594" w:lineRule="exact"/>
        <w:ind w:firstLine="640" w:firstLineChars="200"/>
        <w:rPr>
          <w:kern w:val="0"/>
          <w:szCs w:val="32"/>
        </w:rPr>
      </w:pPr>
      <w:r>
        <w:rPr>
          <w:rFonts w:eastAsia="黑体"/>
          <w:bCs/>
          <w:kern w:val="0"/>
          <w:szCs w:val="32"/>
        </w:rPr>
        <w:t>二、部门整体支出管理及使用情况分析</w:t>
      </w:r>
    </w:p>
    <w:p w14:paraId="59948CA0">
      <w:pPr>
        <w:spacing w:line="594" w:lineRule="exact"/>
        <w:ind w:firstLine="640" w:firstLineChars="200"/>
        <w:rPr>
          <w:rFonts w:eastAsia="楷体_GB2312"/>
          <w:kern w:val="0"/>
          <w:szCs w:val="32"/>
        </w:rPr>
      </w:pPr>
      <w:r>
        <w:rPr>
          <w:rFonts w:eastAsia="楷体_GB2312"/>
          <w:kern w:val="0"/>
          <w:szCs w:val="32"/>
        </w:rPr>
        <w:t>（一）基本支出</w:t>
      </w:r>
    </w:p>
    <w:p w14:paraId="47D7CC90">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2022</w:t>
      </w:r>
      <w:r>
        <w:rPr>
          <w:rFonts w:hint="eastAsia" w:ascii="仿宋_GB2312" w:hAnsi="仿宋" w:eastAsia="仿宋_GB2312" w:cs="Times New Roman"/>
          <w:sz w:val="32"/>
          <w:szCs w:val="32"/>
          <w:lang w:val="en-US" w:eastAsia="zh-CN"/>
        </w:rPr>
        <w:t>年度财政拨款基本支出</w:t>
      </w:r>
      <w:r>
        <w:rPr>
          <w:rFonts w:hint="default" w:ascii="仿宋_GB2312" w:hAnsi="仿宋" w:eastAsia="仿宋_GB2312" w:cs="Times New Roman"/>
          <w:sz w:val="32"/>
          <w:szCs w:val="32"/>
          <w:lang w:val="en-US" w:eastAsia="zh-CN"/>
        </w:rPr>
        <w:t>94.52</w:t>
      </w:r>
      <w:r>
        <w:rPr>
          <w:rFonts w:hint="eastAsia" w:ascii="仿宋_GB2312" w:hAnsi="仿宋" w:eastAsia="仿宋_GB2312" w:cs="Times New Roman"/>
          <w:sz w:val="32"/>
          <w:szCs w:val="32"/>
          <w:lang w:val="en-US" w:eastAsia="zh-CN"/>
        </w:rPr>
        <w:t xml:space="preserve">万元，其中： </w:t>
      </w:r>
    </w:p>
    <w:p w14:paraId="4D8A4CA9">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人员经费</w:t>
      </w:r>
      <w:r>
        <w:rPr>
          <w:rFonts w:hint="default" w:ascii="仿宋_GB2312" w:hAnsi="仿宋" w:eastAsia="仿宋_GB2312" w:cs="Times New Roman"/>
          <w:sz w:val="32"/>
          <w:szCs w:val="32"/>
          <w:lang w:val="en-US" w:eastAsia="zh-CN"/>
        </w:rPr>
        <w:t>81.64</w:t>
      </w:r>
      <w:r>
        <w:rPr>
          <w:rFonts w:hint="eastAsia" w:ascii="仿宋_GB2312" w:hAnsi="仿宋" w:eastAsia="仿宋_GB2312" w:cs="Times New Roman"/>
          <w:sz w:val="32"/>
          <w:szCs w:val="32"/>
          <w:lang w:val="en-US" w:eastAsia="zh-CN"/>
        </w:rPr>
        <w:t>万元，占基本支出的</w:t>
      </w:r>
      <w:r>
        <w:rPr>
          <w:rFonts w:hint="default" w:ascii="仿宋_GB2312" w:hAnsi="仿宋" w:eastAsia="仿宋_GB2312" w:cs="Times New Roman"/>
          <w:sz w:val="32"/>
          <w:szCs w:val="32"/>
          <w:lang w:val="en-US" w:eastAsia="zh-CN"/>
        </w:rPr>
        <w:t>86.37%,</w:t>
      </w:r>
      <w:r>
        <w:rPr>
          <w:rFonts w:hint="eastAsia" w:ascii="仿宋_GB2312" w:hAnsi="仿宋" w:eastAsia="仿宋_GB2312" w:cs="Times New Roman"/>
          <w:sz w:val="32"/>
          <w:szCs w:val="32"/>
          <w:lang w:val="en-US" w:eastAsia="zh-CN"/>
        </w:rPr>
        <w:t xml:space="preserve">主要包括基本工资、津贴补贴、奖金、伙食补助费、养老保险、医疗保险、住房公积金。 </w:t>
      </w:r>
    </w:p>
    <w:p w14:paraId="62DCA87D">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公用经费</w:t>
      </w:r>
      <w:r>
        <w:rPr>
          <w:rFonts w:hint="default" w:ascii="仿宋_GB2312" w:hAnsi="仿宋" w:eastAsia="仿宋_GB2312" w:cs="Times New Roman"/>
          <w:sz w:val="32"/>
          <w:szCs w:val="32"/>
          <w:lang w:val="en-US" w:eastAsia="zh-CN"/>
        </w:rPr>
        <w:t>12.88</w:t>
      </w:r>
      <w:r>
        <w:rPr>
          <w:rFonts w:hint="eastAsia" w:ascii="仿宋_GB2312" w:hAnsi="仿宋" w:eastAsia="仿宋_GB2312" w:cs="Times New Roman"/>
          <w:sz w:val="32"/>
          <w:szCs w:val="32"/>
          <w:lang w:val="en-US" w:eastAsia="zh-CN"/>
        </w:rPr>
        <w:t>万元，占基本支出的</w:t>
      </w:r>
      <w:r>
        <w:rPr>
          <w:rFonts w:hint="default" w:ascii="仿宋_GB2312" w:hAnsi="仿宋" w:eastAsia="仿宋_GB2312" w:cs="Times New Roman"/>
          <w:sz w:val="32"/>
          <w:szCs w:val="32"/>
          <w:lang w:val="en-US" w:eastAsia="zh-CN"/>
        </w:rPr>
        <w:t>13.63%</w:t>
      </w:r>
      <w:r>
        <w:rPr>
          <w:rFonts w:hint="eastAsia" w:ascii="仿宋_GB2312" w:hAnsi="仿宋" w:eastAsia="仿宋_GB2312" w:cs="Times New Roman"/>
          <w:sz w:val="32"/>
          <w:szCs w:val="32"/>
          <w:lang w:val="en-US" w:eastAsia="zh-CN"/>
        </w:rPr>
        <w:t>，主要包括办公费、印刷费、咨询费、手续费。</w:t>
      </w:r>
    </w:p>
    <w:p w14:paraId="419D6936">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“三公”经费</w:t>
      </w:r>
      <w:r>
        <w:rPr>
          <w:rFonts w:hint="default" w:ascii="仿宋_GB2312" w:hAnsi="仿宋" w:eastAsia="仿宋_GB2312" w:cs="Times New Roman"/>
          <w:sz w:val="32"/>
          <w:szCs w:val="32"/>
          <w:lang w:val="en-US" w:eastAsia="zh-CN"/>
        </w:rPr>
        <w:t>2.22</w:t>
      </w:r>
      <w:r>
        <w:rPr>
          <w:rFonts w:hint="eastAsia" w:ascii="仿宋_GB2312" w:hAnsi="仿宋" w:eastAsia="仿宋_GB2312" w:cs="Times New Roman"/>
          <w:sz w:val="32"/>
          <w:szCs w:val="32"/>
          <w:lang w:val="en-US" w:eastAsia="zh-CN"/>
        </w:rPr>
        <w:t>万元，其中公务接待费支出</w:t>
      </w:r>
      <w:r>
        <w:rPr>
          <w:rFonts w:hint="default" w:ascii="仿宋_GB2312" w:hAnsi="仿宋" w:eastAsia="仿宋_GB2312" w:cs="Times New Roman"/>
          <w:sz w:val="32"/>
          <w:szCs w:val="32"/>
          <w:lang w:val="en-US" w:eastAsia="zh-CN"/>
        </w:rPr>
        <w:t>2.22</w:t>
      </w:r>
      <w:r>
        <w:rPr>
          <w:rFonts w:hint="eastAsia" w:ascii="仿宋_GB2312" w:hAnsi="仿宋" w:eastAsia="仿宋_GB2312" w:cs="Times New Roman"/>
          <w:sz w:val="32"/>
          <w:szCs w:val="32"/>
          <w:lang w:val="en-US" w:eastAsia="zh-CN"/>
        </w:rPr>
        <w:t>万元，占“三公”经费的100%。</w:t>
      </w:r>
    </w:p>
    <w:p w14:paraId="7AD6BE48">
      <w:pPr>
        <w:tabs>
          <w:tab w:val="left" w:pos="3396"/>
        </w:tabs>
        <w:spacing w:line="594" w:lineRule="exact"/>
        <w:ind w:firstLine="640" w:firstLineChars="200"/>
        <w:rPr>
          <w:rFonts w:eastAsia="楷体_GB2312"/>
          <w:kern w:val="0"/>
          <w:szCs w:val="32"/>
        </w:rPr>
      </w:pPr>
      <w:r>
        <w:rPr>
          <w:rFonts w:eastAsia="楷体_GB2312"/>
          <w:kern w:val="0"/>
          <w:szCs w:val="32"/>
        </w:rPr>
        <w:t>（二）项目支出</w:t>
      </w:r>
      <w:r>
        <w:rPr>
          <w:rFonts w:eastAsia="楷体_GB2312"/>
          <w:kern w:val="0"/>
          <w:szCs w:val="32"/>
        </w:rPr>
        <w:tab/>
      </w:r>
    </w:p>
    <w:p w14:paraId="46855EA2">
      <w:pPr>
        <w:keepNext w:val="0"/>
        <w:keepLines w:val="0"/>
        <w:widowControl/>
        <w:suppressLineNumbers w:val="0"/>
        <w:ind w:firstLine="640" w:firstLineChars="200"/>
        <w:jc w:val="left"/>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2022</w:t>
      </w:r>
      <w:r>
        <w:rPr>
          <w:rFonts w:hint="eastAsia" w:ascii="仿宋_GB2312" w:hAnsi="仿宋" w:eastAsia="仿宋_GB2312" w:cs="Times New Roman"/>
          <w:sz w:val="32"/>
          <w:szCs w:val="32"/>
          <w:lang w:val="en-US" w:eastAsia="zh-CN"/>
        </w:rPr>
        <w:t>年度财政拨款项目支出40.64万元，全部用于一般行政管理事务。</w:t>
      </w:r>
    </w:p>
    <w:p w14:paraId="6078AA6D">
      <w:pPr>
        <w:spacing w:line="594" w:lineRule="exact"/>
        <w:ind w:firstLine="640" w:firstLineChars="200"/>
        <w:rPr>
          <w:rFonts w:eastAsia="黑体"/>
          <w:bCs/>
          <w:kern w:val="0"/>
          <w:szCs w:val="32"/>
        </w:rPr>
      </w:pPr>
      <w:r>
        <w:rPr>
          <w:rFonts w:hint="eastAsia" w:eastAsia="黑体"/>
          <w:bCs/>
          <w:kern w:val="0"/>
          <w:szCs w:val="32"/>
          <w:lang w:val="en-US" w:eastAsia="zh-CN"/>
        </w:rPr>
        <w:t>三</w:t>
      </w:r>
      <w:r>
        <w:rPr>
          <w:rFonts w:eastAsia="黑体"/>
          <w:bCs/>
          <w:kern w:val="0"/>
          <w:szCs w:val="32"/>
        </w:rPr>
        <w:t>、部门整体支出绩效情况分析</w:t>
      </w:r>
    </w:p>
    <w:p w14:paraId="7DE1401E">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14:paraId="47FD096C">
      <w:pPr>
        <w:spacing w:line="594" w:lineRule="exact"/>
        <w:ind w:firstLine="640" w:firstLineChars="200"/>
        <w:rPr>
          <w:kern w:val="0"/>
          <w:szCs w:val="32"/>
        </w:rPr>
      </w:pPr>
      <w:r>
        <w:rPr>
          <w:rFonts w:hint="eastAsia" w:eastAsia="黑体"/>
          <w:bCs/>
          <w:kern w:val="0"/>
          <w:szCs w:val="32"/>
          <w:lang w:val="en-US" w:eastAsia="zh-CN"/>
        </w:rPr>
        <w:t>四</w:t>
      </w:r>
      <w:r>
        <w:rPr>
          <w:rFonts w:eastAsia="黑体"/>
          <w:bCs/>
          <w:kern w:val="0"/>
          <w:szCs w:val="32"/>
        </w:rPr>
        <w:t>、绩效评价工作开展情况</w:t>
      </w:r>
    </w:p>
    <w:p w14:paraId="6AD2DDD9">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（一）绩效评价目的。</w:t>
      </w:r>
    </w:p>
    <w:p w14:paraId="794F7825">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财政支出绩效自评的目的，主要是通过资金使用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进一步提升绩效管理水平，强化支出责任，提高财政资金使用效益。</w:t>
      </w:r>
    </w:p>
    <w:p w14:paraId="6EBA0D0C">
      <w:pPr>
        <w:numPr>
          <w:ilvl w:val="0"/>
          <w:numId w:val="1"/>
        </w:numPr>
        <w:spacing w:line="594" w:lineRule="exact"/>
        <w:ind w:firstLine="640" w:firstLineChars="200"/>
        <w:rPr>
          <w:kern w:val="0"/>
          <w:szCs w:val="32"/>
        </w:rPr>
      </w:pPr>
      <w:r>
        <w:rPr>
          <w:kern w:val="0"/>
          <w:szCs w:val="32"/>
        </w:rPr>
        <w:t>绩效评价工作过程，主要包括前期准备、组织实施和分析评价以及自评结果等内容。</w:t>
      </w:r>
    </w:p>
    <w:p w14:paraId="2049F585">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本单位主要参照部门绩效自评情况参照《安化县财政局关于开展202</w:t>
      </w:r>
      <w:r>
        <w:rPr>
          <w:rFonts w:hint="eastAsia" w:ascii="仿宋_GB2312" w:hAnsi="仿宋" w:eastAsia="仿宋_GB2312" w:cs="Times New Roman"/>
          <w:sz w:val="32"/>
          <w:szCs w:val="32"/>
          <w:lang w:val="en-US" w:eastAsia="zh-CN"/>
        </w:rPr>
        <w:t>2</w:t>
      </w:r>
      <w:r>
        <w:rPr>
          <w:rFonts w:hint="default" w:ascii="仿宋_GB2312" w:hAnsi="仿宋" w:eastAsia="仿宋_GB2312" w:cs="Times New Roman"/>
          <w:sz w:val="32"/>
          <w:szCs w:val="32"/>
          <w:lang w:val="en-US" w:eastAsia="zh-CN"/>
        </w:rPr>
        <w:t>年度预算单位整体支出绩效自评工作的通知》(安财绩监</w:t>
      </w:r>
      <w:r>
        <w:rPr>
          <w:rFonts w:hint="eastAsia" w:ascii="仿宋_GB2312" w:hAnsi="仿宋" w:eastAsia="仿宋_GB2312" w:cs="Times New Roman"/>
          <w:sz w:val="32"/>
          <w:szCs w:val="32"/>
          <w:lang w:val="en-US" w:eastAsia="zh-CN"/>
        </w:rPr>
        <w:t>〔2023〕2</w:t>
      </w:r>
      <w:r>
        <w:rPr>
          <w:rFonts w:hint="default" w:ascii="仿宋_GB2312" w:hAnsi="仿宋" w:eastAsia="仿宋_GB2312" w:cs="Times New Roman"/>
          <w:sz w:val="32"/>
          <w:szCs w:val="32"/>
          <w:lang w:val="en-US" w:eastAsia="zh-CN"/>
        </w:rPr>
        <w:t>号)建立自评指标体系，从投入、过程、部门产出绩效三个方面设置了综合指标、共性指标、个性指标等三类涵盖预算编制、预算执行、资产管理、项目管理、资源配置、履职完成及效益等多项评价指标,整体支出绩效评价方法:因素分析法、比较等。预算编制依据充分、数据详实、维构优化、细化可</w:t>
      </w:r>
      <w:r>
        <w:rPr>
          <w:rFonts w:hint="eastAsia" w:ascii="仿宋_GB2312" w:hAnsi="仿宋" w:eastAsia="仿宋_GB2312" w:cs="Times New Roman"/>
          <w:sz w:val="32"/>
          <w:szCs w:val="32"/>
          <w:lang w:val="en-US" w:eastAsia="zh-CN"/>
        </w:rPr>
        <w:t>执行、</w:t>
      </w:r>
      <w:r>
        <w:rPr>
          <w:rFonts w:hint="default" w:ascii="仿宋_GB2312" w:hAnsi="仿宋" w:eastAsia="仿宋_GB2312" w:cs="Times New Roman"/>
          <w:sz w:val="32"/>
          <w:szCs w:val="32"/>
          <w:lang w:val="en-US" w:eastAsia="zh-CN"/>
        </w:rPr>
        <w:t>基础信息完善、数据更新及时、依据真实完整。项目预算整合</w:t>
      </w:r>
      <w:r>
        <w:rPr>
          <w:rFonts w:hint="eastAsia" w:ascii="仿宋_GB2312" w:hAnsi="仿宋" w:eastAsia="仿宋_GB2312" w:cs="Times New Roman"/>
          <w:sz w:val="32"/>
          <w:szCs w:val="32"/>
          <w:lang w:val="en-US" w:eastAsia="zh-CN"/>
        </w:rPr>
        <w:t>归</w:t>
      </w:r>
      <w:r>
        <w:rPr>
          <w:rFonts w:hint="default" w:ascii="仿宋_GB2312" w:hAnsi="仿宋" w:eastAsia="仿宋_GB2312" w:cs="Times New Roman"/>
          <w:sz w:val="32"/>
          <w:szCs w:val="32"/>
          <w:lang w:val="en-US" w:eastAsia="zh-CN"/>
        </w:rPr>
        <w:t>类合理，目标明确，项目储备充分、完整。并成立编效自评小组。实施询问、检查等必要的工作程序并抽查会计记录包括原</w:t>
      </w:r>
      <w:r>
        <w:rPr>
          <w:rFonts w:hint="eastAsia" w:ascii="仿宋_GB2312" w:hAnsi="仿宋" w:eastAsia="仿宋_GB2312" w:cs="Times New Roman"/>
          <w:sz w:val="32"/>
          <w:szCs w:val="32"/>
          <w:lang w:val="en-US" w:eastAsia="zh-CN"/>
        </w:rPr>
        <w:t>始凭</w:t>
      </w:r>
      <w:r>
        <w:rPr>
          <w:rFonts w:hint="default" w:ascii="仿宋_GB2312" w:hAnsi="仿宋" w:eastAsia="仿宋_GB2312" w:cs="Times New Roman"/>
          <w:sz w:val="32"/>
          <w:szCs w:val="32"/>
          <w:lang w:val="en-US" w:eastAsia="zh-CN"/>
        </w:rPr>
        <w:t>证、记账凭证、会计账簿等相关会计资料、复核预决算</w:t>
      </w:r>
      <w:r>
        <w:rPr>
          <w:rFonts w:hint="eastAsia" w:ascii="仿宋_GB2312" w:hAnsi="仿宋" w:eastAsia="仿宋_GB2312" w:cs="Times New Roman"/>
          <w:sz w:val="32"/>
          <w:szCs w:val="32"/>
          <w:lang w:val="en-US" w:eastAsia="zh-CN"/>
        </w:rPr>
        <w:t>报</w:t>
      </w:r>
      <w:r>
        <w:rPr>
          <w:rFonts w:hint="default" w:ascii="仿宋_GB2312" w:hAnsi="仿宋" w:eastAsia="仿宋_GB2312" w:cs="Times New Roman"/>
          <w:sz w:val="32"/>
          <w:szCs w:val="32"/>
          <w:lang w:val="en-US" w:eastAsia="zh-CN"/>
        </w:rPr>
        <w:t>表</w:t>
      </w:r>
      <w:r>
        <w:rPr>
          <w:rFonts w:hint="eastAsia" w:ascii="仿宋_GB2312" w:hAnsi="仿宋" w:eastAsia="仿宋_GB2312" w:cs="Times New Roman"/>
          <w:sz w:val="32"/>
          <w:szCs w:val="32"/>
          <w:lang w:val="en-US" w:eastAsia="zh-CN"/>
        </w:rPr>
        <w:t>及</w:t>
      </w:r>
      <w:r>
        <w:rPr>
          <w:rFonts w:hint="default" w:ascii="仿宋_GB2312" w:hAnsi="仿宋" w:eastAsia="仿宋_GB2312" w:cs="Times New Roman"/>
          <w:sz w:val="32"/>
          <w:szCs w:val="32"/>
          <w:lang w:val="en-US" w:eastAsia="zh-CN"/>
        </w:rPr>
        <w:t>编制依据。获取的资料和证据是充分的，实施的工作方法和程序是适当的。根据单位自评，自评结果为</w:t>
      </w:r>
      <w:r>
        <w:rPr>
          <w:rFonts w:hint="eastAsia" w:ascii="仿宋_GB2312" w:hAnsi="仿宋" w:eastAsia="仿宋_GB2312" w:cs="Times New Roman"/>
          <w:sz w:val="32"/>
          <w:szCs w:val="32"/>
          <w:lang w:val="en-US" w:eastAsia="zh-CN"/>
        </w:rPr>
        <w:t>100</w:t>
      </w:r>
      <w:r>
        <w:rPr>
          <w:rFonts w:hint="default" w:ascii="仿宋_GB2312" w:hAnsi="仿宋" w:eastAsia="仿宋_GB2312" w:cs="Times New Roman"/>
          <w:sz w:val="32"/>
          <w:szCs w:val="32"/>
          <w:lang w:val="en-US" w:eastAsia="zh-CN"/>
        </w:rPr>
        <w:t>分。</w:t>
      </w:r>
    </w:p>
    <w:p w14:paraId="060006AE">
      <w:pPr>
        <w:spacing w:line="594" w:lineRule="exact"/>
        <w:ind w:firstLine="640" w:firstLineChars="200"/>
        <w:rPr>
          <w:rFonts w:eastAsia="黑体"/>
          <w:bCs/>
          <w:kern w:val="0"/>
          <w:szCs w:val="32"/>
        </w:rPr>
      </w:pPr>
      <w:r>
        <w:rPr>
          <w:rFonts w:hint="eastAsia" w:eastAsia="黑体"/>
          <w:bCs/>
          <w:kern w:val="0"/>
          <w:szCs w:val="32"/>
          <w:lang w:val="en-US" w:eastAsia="zh-CN"/>
        </w:rPr>
        <w:t>五</w:t>
      </w:r>
      <w:r>
        <w:rPr>
          <w:rFonts w:eastAsia="黑体"/>
          <w:bCs/>
          <w:kern w:val="0"/>
          <w:szCs w:val="32"/>
        </w:rPr>
        <w:t>、存在的主要问题</w:t>
      </w:r>
    </w:p>
    <w:p w14:paraId="0967477A">
      <w:pPr>
        <w:keepNext w:val="0"/>
        <w:keepLines w:val="0"/>
        <w:widowControl/>
        <w:suppressLineNumbers w:val="0"/>
        <w:ind w:firstLine="640" w:firstLineChars="200"/>
        <w:jc w:val="left"/>
        <w:rPr>
          <w:kern w:val="0"/>
          <w:szCs w:val="32"/>
        </w:rPr>
      </w:pPr>
      <w:r>
        <w:rPr>
          <w:rFonts w:hint="default" w:ascii="仿宋_GB2312" w:hAnsi="仿宋" w:eastAsia="仿宋_GB2312" w:cs="Times New Roman"/>
          <w:sz w:val="32"/>
          <w:szCs w:val="32"/>
          <w:lang w:val="en-US" w:eastAsia="zh-CN"/>
        </w:rPr>
        <w:t>部门预算的人员经费和公用经费不足。单位日常运转的刚性支出大，现</w:t>
      </w:r>
      <w:r>
        <w:rPr>
          <w:rFonts w:hint="eastAsia" w:ascii="仿宋_GB2312" w:hAnsi="仿宋" w:eastAsia="仿宋_GB2312" w:cs="Times New Roman"/>
          <w:sz w:val="32"/>
          <w:szCs w:val="32"/>
          <w:lang w:val="en-US" w:eastAsia="zh-CN"/>
        </w:rPr>
        <w:t>有的部门预算资金不能满足日益增长的工作需要。</w:t>
      </w:r>
    </w:p>
    <w:p w14:paraId="7C50D117">
      <w:pPr>
        <w:spacing w:line="594" w:lineRule="exact"/>
        <w:ind w:firstLine="640" w:firstLineChars="200"/>
        <w:rPr>
          <w:rFonts w:eastAsia="黑体"/>
          <w:bCs/>
          <w:kern w:val="0"/>
          <w:szCs w:val="32"/>
        </w:rPr>
      </w:pPr>
      <w:r>
        <w:rPr>
          <w:rFonts w:hint="eastAsia" w:eastAsia="黑体"/>
          <w:bCs/>
          <w:kern w:val="0"/>
          <w:szCs w:val="32"/>
          <w:lang w:val="en-US" w:eastAsia="zh-CN"/>
        </w:rPr>
        <w:t>六</w:t>
      </w:r>
      <w:r>
        <w:rPr>
          <w:rFonts w:eastAsia="黑体"/>
          <w:bCs/>
          <w:kern w:val="0"/>
          <w:szCs w:val="32"/>
        </w:rPr>
        <w:t>、改进措施和有关建议</w:t>
      </w:r>
    </w:p>
    <w:p w14:paraId="1C45940F">
      <w:pPr>
        <w:keepNext w:val="0"/>
        <w:keepLines w:val="0"/>
        <w:widowControl/>
        <w:suppressLineNumbers w:val="0"/>
        <w:ind w:firstLine="640" w:firstLineChars="200"/>
        <w:jc w:val="left"/>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对存在的问题提出切实可行的改进措施和有关建议等。</w:t>
      </w:r>
    </w:p>
    <w:p w14:paraId="66078FD1">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1、加强财务管理，严格财务审核。</w:t>
      </w:r>
    </w:p>
    <w:p w14:paraId="4E9D7E3E">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2、对相关人员加强培训，切实提高</w:t>
      </w:r>
      <w:r>
        <w:rPr>
          <w:rFonts w:hint="eastAsia" w:ascii="仿宋_GB2312" w:hAnsi="仿宋" w:cs="Times New Roman"/>
          <w:sz w:val="32"/>
          <w:szCs w:val="32"/>
          <w:lang w:val="en-US" w:eastAsia="zh-CN"/>
        </w:rPr>
        <w:t>财务</w:t>
      </w:r>
      <w:r>
        <w:rPr>
          <w:rFonts w:hint="eastAsia" w:ascii="仿宋_GB2312" w:hAnsi="仿宋" w:eastAsia="仿宋_GB2312" w:cs="Times New Roman"/>
          <w:sz w:val="32"/>
          <w:szCs w:val="32"/>
          <w:lang w:val="en-US" w:eastAsia="zh-CN"/>
        </w:rPr>
        <w:t>人员业务水平。</w:t>
      </w:r>
    </w:p>
    <w:p w14:paraId="6EEDA62F">
      <w:pPr>
        <w:spacing w:line="594" w:lineRule="exact"/>
        <w:ind w:firstLine="640" w:firstLineChars="200"/>
        <w:rPr>
          <w:rFonts w:hint="eastAsia"/>
          <w:kern w:val="0"/>
          <w:szCs w:val="32"/>
        </w:rPr>
      </w:pPr>
    </w:p>
    <w:p w14:paraId="0857A71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5201">
    <w:pPr>
      <w:pStyle w:val="3"/>
      <w:framePr w:w="1701" w:wrap="around" w:vAnchor="text" w:hAnchor="margin" w:xAlign="outside" w:y="1"/>
      <w:jc w:val="center"/>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6</w:t>
    </w:r>
    <w:r>
      <w:rPr>
        <w:sz w:val="28"/>
        <w:szCs w:val="28"/>
      </w:rPr>
      <w:fldChar w:fldCharType="end"/>
    </w:r>
    <w:r>
      <w:rPr>
        <w:rFonts w:hint="eastAsia"/>
        <w:sz w:val="28"/>
        <w:szCs w:val="28"/>
      </w:rPr>
      <w:t xml:space="preserve"> </w:t>
    </w:r>
    <w:r>
      <w:rPr>
        <w:rStyle w:val="6"/>
        <w:rFonts w:hint="eastAsia"/>
        <w:sz w:val="28"/>
        <w:szCs w:val="28"/>
      </w:rPr>
      <w:t>—</w:t>
    </w:r>
  </w:p>
  <w:p w14:paraId="62E083AE">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20F76"/>
    <w:multiLevelType w:val="singleLevel"/>
    <w:tmpl w:val="53420F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2U1MzdkY2I2ODQ5MzlkYTY0ZTQ0M2U5ZjM3ZTUifQ=="/>
  </w:docVars>
  <w:rsids>
    <w:rsidRoot w:val="713C128E"/>
    <w:rsid w:val="26E7357D"/>
    <w:rsid w:val="29CC6D0A"/>
    <w:rsid w:val="713C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6128</Words>
  <Characters>6431</Characters>
  <Lines>0</Lines>
  <Paragraphs>0</Paragraphs>
  <TotalTime>6</TotalTime>
  <ScaleCrop>false</ScaleCrop>
  <LinksUpToDate>false</LinksUpToDate>
  <CharactersWithSpaces>6662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2023-11-17T03:57:00Z</dcterms:created>
  <dc:creator>rox</dc:creator>
  <cp:lastModifiedBy>Administrator</cp:lastModifiedBy>
  <dcterms:modified xsi:type="dcterms:W3CDTF">2024-08-23T01:24:22Z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8A521C15C3644AFE98908219C8512820_11</vt:lpwstr>
  </property>
</Properties>
</file>