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4" w:lineRule="exact"/>
        <w:jc w:val="left"/>
        <w:rPr>
          <w:rFonts w:eastAsia="黑体"/>
          <w:bCs/>
          <w:kern w:val="0"/>
          <w:szCs w:val="32"/>
        </w:rPr>
      </w:pPr>
      <w:bookmarkStart w:id="0" w:name="RANGE!A1:G4"/>
      <w:r>
        <w:rPr>
          <w:rFonts w:eastAsia="黑体"/>
          <w:bCs/>
          <w:kern w:val="0"/>
          <w:szCs w:val="32"/>
        </w:rPr>
        <w:t>附件3</w:t>
      </w:r>
      <w:bookmarkEnd w:id="0"/>
    </w:p>
    <w:p>
      <w:pPr>
        <w:widowControl/>
        <w:spacing w:line="594" w:lineRule="exact"/>
        <w:jc w:val="center"/>
        <w:rPr>
          <w:rFonts w:eastAsia="方正小标宋简体"/>
          <w:kern w:val="0"/>
          <w:sz w:val="44"/>
          <w:szCs w:val="44"/>
        </w:rPr>
      </w:pPr>
      <w:r>
        <w:rPr>
          <w:rFonts w:hint="eastAsia" w:eastAsia="方正小标宋简体"/>
          <w:kern w:val="0"/>
          <w:sz w:val="44"/>
          <w:szCs w:val="44"/>
          <w:lang w:eastAsia="zh-CN"/>
        </w:rPr>
        <w:t>滔溪镇2022</w:t>
      </w:r>
      <w:r>
        <w:rPr>
          <w:rFonts w:hint="eastAsia" w:eastAsia="方正小标宋简体"/>
          <w:kern w:val="0"/>
          <w:sz w:val="44"/>
          <w:szCs w:val="44"/>
        </w:rPr>
        <w:t>年度</w:t>
      </w:r>
      <w:r>
        <w:rPr>
          <w:rFonts w:eastAsia="方正小标宋简体"/>
          <w:kern w:val="0"/>
          <w:sz w:val="44"/>
          <w:szCs w:val="44"/>
        </w:rPr>
        <w:t>部门整体支出绩效报告</w:t>
      </w:r>
    </w:p>
    <w:p>
      <w:pPr>
        <w:keepNext w:val="0"/>
        <w:keepLines w:val="0"/>
        <w:pageBreakBefore w:val="0"/>
        <w:widowControl/>
        <w:kinsoku/>
        <w:wordWrap/>
        <w:overflowPunct/>
        <w:topLinePunct w:val="0"/>
        <w:autoSpaceDE/>
        <w:autoSpaceDN/>
        <w:bidi w:val="0"/>
        <w:adjustRightInd/>
        <w:snapToGrid/>
        <w:spacing w:line="594" w:lineRule="exact"/>
        <w:ind w:firstLine="880" w:firstLineChars="200"/>
        <w:jc w:val="center"/>
        <w:textAlignment w:val="auto"/>
        <w:rPr>
          <w:rFonts w:hint="eastAsia" w:eastAsia="方正小标宋简体"/>
          <w:kern w:val="0"/>
          <w:sz w:val="44"/>
          <w:szCs w:val="44"/>
        </w:rPr>
      </w:pPr>
    </w:p>
    <w:p>
      <w:pPr>
        <w:spacing w:line="700" w:lineRule="exact"/>
        <w:jc w:val="center"/>
        <w:rPr>
          <w:rFonts w:hint="eastAsia" w:ascii="仿宋" w:hAnsi="仿宋" w:eastAsia="仿宋" w:cs="Times New Roman"/>
          <w:kern w:val="2"/>
          <w:sz w:val="32"/>
          <w:szCs w:val="24"/>
          <w:u w:val="none"/>
          <w:shd w:val="clear"/>
          <w:lang w:val="en-US" w:eastAsia="zh-CN" w:bidi="ar-SA"/>
        </w:rPr>
      </w:pPr>
      <w:r>
        <w:rPr>
          <w:rFonts w:hint="eastAsia" w:ascii="仿宋" w:hAnsi="仿宋" w:eastAsia="仿宋" w:cs="Times New Roman"/>
          <w:kern w:val="2"/>
          <w:sz w:val="32"/>
          <w:szCs w:val="24"/>
          <w:u w:val="none"/>
          <w:shd w:val="clear"/>
          <w:lang w:val="en-US" w:eastAsia="zh-CN" w:bidi="ar-SA"/>
        </w:rPr>
        <w:t>根据安化县财政局《关于开展2022年度预算单位整体支出</w:t>
      </w:r>
    </w:p>
    <w:p>
      <w:pPr>
        <w:spacing w:line="700" w:lineRule="exact"/>
        <w:jc w:val="both"/>
        <w:rPr>
          <w:rFonts w:hint="eastAsia" w:ascii="仿宋" w:hAnsi="仿宋" w:eastAsia="仿宋" w:cs="Times New Roman"/>
          <w:kern w:val="2"/>
          <w:sz w:val="32"/>
          <w:szCs w:val="24"/>
          <w:u w:val="none"/>
          <w:shd w:val="clear"/>
          <w:lang w:val="en-US" w:eastAsia="zh-CN" w:bidi="ar-SA"/>
        </w:rPr>
      </w:pPr>
      <w:r>
        <w:rPr>
          <w:rFonts w:hint="eastAsia" w:ascii="仿宋" w:hAnsi="仿宋" w:eastAsia="仿宋" w:cs="Times New Roman"/>
          <w:kern w:val="2"/>
          <w:sz w:val="32"/>
          <w:szCs w:val="24"/>
          <w:u w:val="none"/>
          <w:shd w:val="clear"/>
          <w:lang w:val="en-US" w:eastAsia="zh-CN" w:bidi="ar-SA"/>
        </w:rPr>
        <w:t>绩效自评工作的通知》安财绩〔2023〕2号文件精神，我镇认真开展了2022年度整体支出绩效自评工作，现将自评工作情况报告如下：</w:t>
      </w:r>
      <w:bookmarkStart w:id="1" w:name="_GoBack"/>
      <w:bookmarkEnd w:id="1"/>
    </w:p>
    <w:p>
      <w:pPr>
        <w:keepNext w:val="0"/>
        <w:keepLines w:val="0"/>
        <w:pageBreakBefore w:val="0"/>
        <w:widowControl/>
        <w:kinsoku/>
        <w:wordWrap/>
        <w:overflowPunct/>
        <w:topLinePunct w:val="0"/>
        <w:bidi w:val="0"/>
        <w:adjustRightInd/>
        <w:snapToGrid/>
        <w:spacing w:line="360" w:lineRule="auto"/>
        <w:ind w:firstLine="640" w:firstLineChars="200"/>
        <w:textAlignment w:val="auto"/>
        <w:rPr>
          <w:rFonts w:eastAsia="黑体"/>
          <w:kern w:val="0"/>
          <w:szCs w:val="32"/>
        </w:rPr>
      </w:pPr>
      <w:r>
        <w:rPr>
          <w:rFonts w:eastAsia="黑体"/>
          <w:bCs/>
          <w:kern w:val="0"/>
          <w:szCs w:val="32"/>
        </w:rPr>
        <w:t xml:space="preserve"> 一、部门概况</w:t>
      </w:r>
    </w:p>
    <w:p>
      <w:pPr>
        <w:keepNext w:val="0"/>
        <w:keepLines w:val="0"/>
        <w:pageBreakBefore w:val="0"/>
        <w:widowControl w:val="0"/>
        <w:kinsoku/>
        <w:wordWrap/>
        <w:overflowPunct/>
        <w:topLinePunct w:val="0"/>
        <w:autoSpaceDE w:val="0"/>
        <w:autoSpaceDN w:val="0"/>
        <w:bidi w:val="0"/>
        <w:adjustRightInd/>
        <w:snapToGrid/>
        <w:spacing w:line="360" w:lineRule="auto"/>
        <w:ind w:firstLine="640"/>
        <w:textAlignment w:val="auto"/>
        <w:rPr>
          <w:kern w:val="0"/>
          <w:szCs w:val="32"/>
        </w:rPr>
      </w:pPr>
      <w:r>
        <w:rPr>
          <w:kern w:val="0"/>
          <w:szCs w:val="32"/>
        </w:rPr>
        <w:t>（一）部门基本情况</w:t>
      </w:r>
    </w:p>
    <w:p>
      <w:pPr>
        <w:keepNext w:val="0"/>
        <w:keepLines w:val="0"/>
        <w:pageBreakBefore w:val="0"/>
        <w:widowControl w:val="0"/>
        <w:kinsoku/>
        <w:wordWrap/>
        <w:overflowPunct/>
        <w:topLinePunct w:val="0"/>
        <w:autoSpaceDE w:val="0"/>
        <w:autoSpaceDN w:val="0"/>
        <w:bidi w:val="0"/>
        <w:adjustRightInd/>
        <w:snapToGrid/>
        <w:spacing w:line="360" w:lineRule="auto"/>
        <w:ind w:firstLine="640"/>
        <w:textAlignment w:val="auto"/>
        <w:rPr>
          <w:rFonts w:hint="default" w:ascii="仿宋" w:hAnsi="仿宋" w:eastAsia="仿宋" w:cs="Times New Roman"/>
          <w:kern w:val="2"/>
          <w:sz w:val="32"/>
          <w:szCs w:val="24"/>
          <w:highlight w:val="none"/>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根据编委核定，本级政府</w:t>
      </w:r>
      <w:r>
        <w:rPr>
          <w:rFonts w:hint="eastAsia" w:ascii="仿宋" w:hAnsi="仿宋" w:eastAsia="仿宋" w:cs="Times New Roman"/>
          <w:kern w:val="2"/>
          <w:sz w:val="32"/>
          <w:szCs w:val="24"/>
          <w:highlight w:val="none"/>
          <w:u w:val="none"/>
          <w:shd w:val="clear" w:color="auto" w:fill="auto"/>
          <w:lang w:val="en-US" w:eastAsia="zh-CN" w:bidi="ar-SA"/>
        </w:rPr>
        <w:t>设置党政机构7个，均为正股级，设置5个事业单位，均为正股级，全部纳入2022年部门预算编制范围。截止2022年12月底，本级政府实有人数</w:t>
      </w:r>
      <w:r>
        <w:rPr>
          <w:rFonts w:hint="eastAsia" w:ascii="仿宋_GB2312" w:hAnsi="仿宋" w:eastAsia="仿宋_GB2312"/>
          <w:sz w:val="32"/>
          <w:szCs w:val="32"/>
          <w:highlight w:val="none"/>
          <w:lang w:val="en-US" w:eastAsia="zh-CN"/>
        </w:rPr>
        <w:t>76</w:t>
      </w:r>
      <w:r>
        <w:rPr>
          <w:rFonts w:hint="eastAsia" w:ascii="仿宋" w:hAnsi="仿宋" w:eastAsia="仿宋" w:cs="Times New Roman"/>
          <w:kern w:val="2"/>
          <w:sz w:val="32"/>
          <w:szCs w:val="24"/>
          <w:highlight w:val="none"/>
          <w:u w:val="none"/>
          <w:shd w:val="clear" w:color="auto" w:fill="auto"/>
          <w:lang w:val="en-US" w:eastAsia="zh-CN" w:bidi="ar-SA"/>
        </w:rPr>
        <w:t>人。</w:t>
      </w:r>
    </w:p>
    <w:p>
      <w:pPr>
        <w:keepNext w:val="0"/>
        <w:keepLines w:val="0"/>
        <w:pageBreakBefore w:val="0"/>
        <w:widowControl w:val="0"/>
        <w:kinsoku/>
        <w:wordWrap/>
        <w:overflowPunct/>
        <w:topLinePunct w:val="0"/>
        <w:autoSpaceDE w:val="0"/>
        <w:autoSpaceDN w:val="0"/>
        <w:bidi w:val="0"/>
        <w:adjustRightInd/>
        <w:snapToGrid/>
        <w:spacing w:line="360" w:lineRule="auto"/>
        <w:ind w:firstLine="640"/>
        <w:textAlignment w:val="auto"/>
        <w:rPr>
          <w:rFonts w:hint="eastAsia" w:ascii="仿宋" w:hAnsi="仿宋" w:eastAsia="仿宋" w:cs="Times New Roman"/>
          <w:kern w:val="2"/>
          <w:sz w:val="32"/>
          <w:szCs w:val="24"/>
          <w:highlight w:val="none"/>
          <w:u w:val="none"/>
          <w:shd w:val="clear" w:color="auto" w:fill="auto"/>
          <w:lang w:val="en-US" w:eastAsia="zh-CN" w:bidi="ar-SA"/>
        </w:rPr>
      </w:pPr>
      <w:r>
        <w:rPr>
          <w:rFonts w:hint="eastAsia" w:ascii="仿宋" w:hAnsi="仿宋" w:eastAsia="仿宋" w:cs="Times New Roman"/>
          <w:kern w:val="2"/>
          <w:sz w:val="32"/>
          <w:szCs w:val="24"/>
          <w:highlight w:val="none"/>
          <w:u w:val="none"/>
          <w:shd w:val="clear" w:color="auto" w:fill="auto"/>
          <w:lang w:val="en-US" w:eastAsia="zh-CN" w:bidi="ar-SA"/>
        </w:rPr>
        <w:t>滔溪镇人民政府作为最基层的国家行政机关，主要职能包括：</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640"/>
        <w:textAlignment w:val="auto"/>
        <w:rPr>
          <w:rFonts w:hint="eastAsia"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highlight w:val="none"/>
          <w:u w:val="none"/>
          <w:shd w:val="clear" w:color="auto" w:fill="auto"/>
          <w:lang w:val="en-US" w:eastAsia="zh-CN" w:bidi="ar-SA"/>
        </w:rPr>
        <w:t>制定和组织实施经济、科技和社会发展计划，制定</w:t>
      </w:r>
      <w:r>
        <w:rPr>
          <w:rFonts w:hint="eastAsia" w:ascii="仿宋" w:hAnsi="仿宋" w:eastAsia="仿宋" w:cs="Times New Roman"/>
          <w:kern w:val="2"/>
          <w:sz w:val="32"/>
          <w:szCs w:val="24"/>
          <w:u w:val="none"/>
          <w:shd w:val="clear" w:color="auto" w:fill="auto"/>
          <w:lang w:val="en-US" w:eastAsia="zh-CN" w:bidi="ar-SA"/>
        </w:rPr>
        <w:t>资源开发技术改造和产业结构调整方案，组织指导好各业生产。搞好商品流通，协调好本镇与外地区的经济交流与合作，抓好招商引资、人才引进项目开发，不断培育市场体系，组织经济运行，促进经济发展；</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640"/>
        <w:textAlignment w:val="auto"/>
        <w:rPr>
          <w:rFonts w:hint="eastAsia"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制定并执行实施村镇建设规划，部署重点工程建设、地方道路建设及公共设施、水利设施的管理，负责土地、林木、水等自然资源和生态环境的保护，做好护林防火工作；</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640"/>
        <w:textAlignment w:val="auto"/>
        <w:rPr>
          <w:rFonts w:hint="eastAsia"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负责本行政区域内的民政、计划生育、文化教育、卫生、体育等社会公益事业综合性工作，维护一切经济单位和个人的正当经济权益，取缔非法经济活动，调节和处理民事纠纷，打击刑事犯罪维护社会稳定；</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640"/>
        <w:textAlignment w:val="auto"/>
        <w:rPr>
          <w:rFonts w:hint="eastAsia"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按计划组织本级财政收入和地方税收的征收，完成国家财政计划，不断培育税源，管好财政资金，增强财政实力；</w:t>
      </w: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640"/>
        <w:textAlignment w:val="auto"/>
        <w:rPr>
          <w:rFonts w:hint="eastAsia"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抓好精神文明建设，丰富群众文化生活，提倡移风易俗反对封建迷信，破除陈规陋习，树立社会主义新风尚。</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2022年度滔溪镇重点工作计划包括：</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1、聚焦组织建设，推动党的建设不断加强</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 xml:space="preserve">    坚持党统揽全局工作目标不动摇，全面加强党的凝聚力，引领干部职工不断增强政治鉴别力、政治领悟力、政治执行力，确保全镇上下在思想上政治上行动上与习近平同志为核心的党中央保持高度一致。</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2、聚焦乡村振兴，推动镇域经济稳中有进</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3、聚焦重点项目，推动城乡统筹发展步伐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4、聚焦中心工作，坚决打好“保电为民”主动战</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5、聚焦民生改善，提升全镇群众幸福指数</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Times New Roman"/>
          <w:kern w:val="2"/>
          <w:sz w:val="32"/>
          <w:szCs w:val="24"/>
          <w:highlight w:val="none"/>
          <w:u w:val="none"/>
          <w:shd w:val="clear" w:color="auto" w:fill="auto"/>
          <w:lang w:val="en-US" w:eastAsia="zh-CN" w:bidi="ar-SA"/>
        </w:rPr>
      </w:pPr>
      <w:r>
        <w:rPr>
          <w:rFonts w:hint="eastAsia" w:ascii="仿宋" w:hAnsi="仿宋" w:eastAsia="仿宋" w:cs="Times New Roman"/>
          <w:kern w:val="2"/>
          <w:sz w:val="32"/>
          <w:szCs w:val="24"/>
          <w:highlight w:val="none"/>
          <w:u w:val="none"/>
          <w:shd w:val="clear" w:color="auto" w:fill="auto"/>
          <w:lang w:val="en-US" w:eastAsia="zh-CN" w:bidi="ar-SA"/>
        </w:rPr>
        <w:t>6、聚焦廉洁从政，推动履职能力全面提升。</w:t>
      </w:r>
    </w:p>
    <w:p>
      <w:pPr>
        <w:widowControl/>
        <w:numPr>
          <w:ilvl w:val="0"/>
          <w:numId w:val="2"/>
        </w:numPr>
        <w:spacing w:line="594" w:lineRule="exact"/>
        <w:ind w:firstLine="640" w:firstLineChars="200"/>
        <w:rPr>
          <w:rFonts w:hint="eastAsia"/>
          <w:kern w:val="0"/>
          <w:szCs w:val="32"/>
          <w:highlight w:val="none"/>
          <w:lang w:eastAsia="zh-CN"/>
        </w:rPr>
      </w:pPr>
      <w:r>
        <w:rPr>
          <w:kern w:val="0"/>
          <w:szCs w:val="32"/>
          <w:highlight w:val="none"/>
        </w:rPr>
        <w:t>部门整体支出</w:t>
      </w:r>
      <w:r>
        <w:rPr>
          <w:rFonts w:hint="eastAsia"/>
          <w:kern w:val="0"/>
          <w:szCs w:val="32"/>
          <w:highlight w:val="none"/>
          <w:lang w:eastAsia="zh-CN"/>
        </w:rPr>
        <w:t>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default" w:ascii="仿宋_GB2312" w:hAnsi="仿宋" w:eastAsia="仿宋_GB2312" w:cs="仿宋"/>
          <w:color w:val="000000"/>
          <w:sz w:val="32"/>
          <w:szCs w:val="32"/>
          <w:highlight w:val="none"/>
          <w:lang w:val="en-US" w:eastAsia="zh-CN"/>
        </w:rPr>
      </w:pPr>
      <w:r>
        <w:rPr>
          <w:rFonts w:hint="eastAsia" w:ascii="仿宋" w:hAnsi="仿宋" w:eastAsia="仿宋" w:cs="Times New Roman"/>
          <w:kern w:val="2"/>
          <w:sz w:val="32"/>
          <w:szCs w:val="24"/>
          <w:highlight w:val="none"/>
          <w:u w:val="none"/>
          <w:shd w:val="clear" w:color="auto" w:fill="auto"/>
          <w:lang w:val="en-US" w:eastAsia="zh-CN" w:bidi="ar-SA"/>
        </w:rPr>
        <w:t>滔溪镇人民政府2022年度整体收入合计</w:t>
      </w:r>
      <w:r>
        <w:rPr>
          <w:rFonts w:hint="eastAsia" w:ascii="仿宋_GB2312" w:hAnsi="仿宋" w:eastAsia="仿宋_GB2312"/>
          <w:sz w:val="32"/>
          <w:szCs w:val="32"/>
          <w:highlight w:val="none"/>
          <w:lang w:val="en-US" w:eastAsia="zh-CN"/>
        </w:rPr>
        <w:t>176</w:t>
      </w:r>
      <w:r>
        <w:rPr>
          <w:rFonts w:hint="eastAsia" w:ascii="仿宋_GB2312" w:hAnsi="仿宋"/>
          <w:sz w:val="32"/>
          <w:szCs w:val="32"/>
          <w:highlight w:val="none"/>
          <w:lang w:val="en-US" w:eastAsia="zh-CN"/>
        </w:rPr>
        <w:t>1</w:t>
      </w:r>
      <w:r>
        <w:rPr>
          <w:rFonts w:hint="eastAsia" w:ascii="仿宋" w:hAnsi="仿宋" w:eastAsia="仿宋" w:cs="Times New Roman"/>
          <w:kern w:val="2"/>
          <w:sz w:val="32"/>
          <w:szCs w:val="24"/>
          <w:highlight w:val="none"/>
          <w:u w:val="none"/>
          <w:shd w:val="clear" w:color="auto" w:fill="auto"/>
          <w:lang w:val="en-US" w:eastAsia="zh-CN" w:bidi="ar-SA"/>
        </w:rPr>
        <w:t>万元，</w:t>
      </w:r>
      <w:r>
        <w:rPr>
          <w:rFonts w:hint="eastAsia" w:ascii="仿宋_GB2312" w:hAnsi="仿宋" w:eastAsia="仿宋_GB2312"/>
          <w:sz w:val="32"/>
          <w:szCs w:val="32"/>
          <w:highlight w:val="none"/>
        </w:rPr>
        <w:t>一般公共预算财政拨款收入</w:t>
      </w:r>
      <w:r>
        <w:rPr>
          <w:rFonts w:hint="eastAsia" w:ascii="仿宋_GB2312" w:hAnsi="仿宋" w:eastAsia="仿宋_GB2312"/>
          <w:sz w:val="32"/>
          <w:szCs w:val="32"/>
          <w:highlight w:val="none"/>
          <w:lang w:val="en-US" w:eastAsia="zh-CN"/>
        </w:rPr>
        <w:t>13</w:t>
      </w:r>
      <w:r>
        <w:rPr>
          <w:rFonts w:hint="eastAsia" w:ascii="仿宋_GB2312" w:hAnsi="仿宋"/>
          <w:sz w:val="32"/>
          <w:szCs w:val="32"/>
          <w:highlight w:val="none"/>
          <w:lang w:val="en-US" w:eastAsia="zh-CN"/>
        </w:rPr>
        <w:t>7</w:t>
      </w:r>
      <w:r>
        <w:rPr>
          <w:rFonts w:hint="eastAsia" w:ascii="仿宋_GB2312" w:hAnsi="仿宋" w:eastAsia="仿宋_GB2312"/>
          <w:sz w:val="32"/>
          <w:szCs w:val="32"/>
          <w:highlight w:val="none"/>
          <w:lang w:val="en-US" w:eastAsia="zh-CN"/>
        </w:rPr>
        <w:t>7.</w:t>
      </w:r>
      <w:r>
        <w:rPr>
          <w:rFonts w:hint="eastAsia" w:ascii="仿宋_GB2312" w:hAnsi="仿宋"/>
          <w:sz w:val="32"/>
          <w:szCs w:val="32"/>
          <w:highlight w:val="none"/>
          <w:lang w:val="en-US" w:eastAsia="zh-CN"/>
        </w:rPr>
        <w:t>44</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比上年增加13.07万元，增加0.96%，增加的原因主要是绩效调标等</w:t>
      </w:r>
      <w:r>
        <w:rPr>
          <w:rFonts w:hint="eastAsia" w:ascii="仿宋_GB2312" w:hAnsi="仿宋" w:eastAsia="仿宋_GB2312"/>
          <w:sz w:val="32"/>
          <w:szCs w:val="32"/>
          <w:highlight w:val="none"/>
        </w:rPr>
        <w:t>。</w:t>
      </w:r>
      <w:r>
        <w:rPr>
          <w:rFonts w:hint="eastAsia" w:ascii="仿宋_GB2312" w:hAnsi="仿宋" w:eastAsia="仿宋_GB2312" w:cs="仿宋"/>
          <w:color w:val="000000"/>
          <w:sz w:val="32"/>
          <w:szCs w:val="32"/>
          <w:highlight w:val="none"/>
          <w:lang w:val="en-US" w:eastAsia="zh-CN"/>
        </w:rPr>
        <w:t>政府性基金预算财政拨款</w:t>
      </w:r>
      <w:r>
        <w:rPr>
          <w:rFonts w:hint="eastAsia" w:ascii="仿宋_GB2312" w:eastAsia="仿宋_GB2312" w:cs="Times New Roman"/>
          <w:color w:val="000000"/>
          <w:sz w:val="32"/>
          <w:szCs w:val="32"/>
          <w:highlight w:val="none"/>
          <w:u w:val="none"/>
          <w:lang w:val="en-US" w:eastAsia="zh-CN"/>
        </w:rPr>
        <w:t>126.7</w:t>
      </w:r>
      <w:r>
        <w:rPr>
          <w:rFonts w:hint="eastAsia" w:ascii="仿宋_GB2312" w:cs="Times New Roman"/>
          <w:color w:val="000000"/>
          <w:sz w:val="32"/>
          <w:szCs w:val="32"/>
          <w:highlight w:val="none"/>
          <w:u w:val="none"/>
          <w:lang w:val="en-US" w:eastAsia="zh-CN"/>
        </w:rPr>
        <w:t>7</w:t>
      </w:r>
      <w:r>
        <w:rPr>
          <w:rFonts w:hint="eastAsia" w:ascii="仿宋_GB2312" w:hAnsi="仿宋" w:eastAsia="仿宋_GB2312" w:cs="仿宋"/>
          <w:color w:val="000000"/>
          <w:sz w:val="32"/>
          <w:szCs w:val="32"/>
          <w:highlight w:val="none"/>
          <w:lang w:val="en-US" w:eastAsia="zh-CN"/>
        </w:rPr>
        <w:t>万元，比上年增加111.7</w:t>
      </w:r>
      <w:r>
        <w:rPr>
          <w:rFonts w:hint="eastAsia" w:ascii="仿宋_GB2312" w:hAnsi="仿宋" w:cs="仿宋"/>
          <w:color w:val="000000"/>
          <w:sz w:val="32"/>
          <w:szCs w:val="32"/>
          <w:highlight w:val="none"/>
          <w:lang w:val="en-US" w:eastAsia="zh-CN"/>
        </w:rPr>
        <w:t>7</w:t>
      </w:r>
      <w:r>
        <w:rPr>
          <w:rFonts w:hint="eastAsia" w:ascii="仿宋_GB2312" w:hAnsi="仿宋" w:eastAsia="仿宋_GB2312" w:cs="仿宋"/>
          <w:color w:val="000000"/>
          <w:sz w:val="32"/>
          <w:szCs w:val="32"/>
          <w:highlight w:val="none"/>
          <w:lang w:val="en-US" w:eastAsia="zh-CN"/>
        </w:rPr>
        <w:t>万元，增加745.11%，</w:t>
      </w:r>
      <w:r>
        <w:rPr>
          <w:rFonts w:hint="eastAsia" w:ascii="仿宋_GB2312" w:hAnsi="仿宋" w:cs="仿宋"/>
          <w:color w:val="000000"/>
          <w:sz w:val="32"/>
          <w:szCs w:val="32"/>
          <w:highlight w:val="none"/>
          <w:lang w:val="en-US" w:eastAsia="zh-CN"/>
        </w:rPr>
        <w:t>增加</w:t>
      </w:r>
      <w:r>
        <w:rPr>
          <w:rFonts w:hint="eastAsia" w:ascii="仿宋_GB2312" w:hAnsi="仿宋" w:eastAsia="仿宋_GB2312" w:cs="仿宋"/>
          <w:color w:val="000000"/>
          <w:sz w:val="32"/>
          <w:szCs w:val="32"/>
          <w:highlight w:val="none"/>
          <w:lang w:val="en-US" w:eastAsia="zh-CN"/>
        </w:rPr>
        <w:t>原因主要是增加了同网同价近区居民电表及电费补贴等</w:t>
      </w:r>
      <w:r>
        <w:rPr>
          <w:rFonts w:hint="eastAsia" w:ascii="仿宋_GB2312" w:hAnsi="仿宋" w:cs="仿宋"/>
          <w:color w:val="00000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Times New Roman"/>
          <w:kern w:val="2"/>
          <w:sz w:val="32"/>
          <w:szCs w:val="24"/>
          <w:highlight w:val="none"/>
          <w:u w:val="none"/>
          <w:shd w:val="clear" w:color="auto" w:fill="auto"/>
          <w:lang w:val="en-US" w:eastAsia="zh-CN" w:bidi="ar-SA"/>
        </w:rPr>
      </w:pPr>
      <w:r>
        <w:rPr>
          <w:rFonts w:hint="eastAsia" w:ascii="仿宋" w:hAnsi="仿宋" w:eastAsia="仿宋" w:cs="Times New Roman"/>
          <w:kern w:val="2"/>
          <w:sz w:val="32"/>
          <w:szCs w:val="24"/>
          <w:highlight w:val="none"/>
          <w:u w:val="none"/>
          <w:shd w:val="clear" w:color="auto" w:fill="auto"/>
          <w:lang w:val="en-US" w:eastAsia="zh-CN" w:bidi="ar-SA"/>
        </w:rPr>
        <w:t>（1）基本支出</w:t>
      </w:r>
      <w:r>
        <w:rPr>
          <w:rFonts w:hint="eastAsia" w:ascii="仿宋_GB2312" w:hAnsi="仿宋" w:eastAsia="仿宋_GB2312"/>
          <w:sz w:val="32"/>
          <w:szCs w:val="32"/>
          <w:highlight w:val="none"/>
        </w:rPr>
        <w:t>1176</w:t>
      </w:r>
      <w:r>
        <w:rPr>
          <w:rFonts w:hint="eastAsia" w:ascii="仿宋_GB2312" w:hAnsi="仿宋" w:eastAsia="仿宋_GB2312"/>
          <w:sz w:val="32"/>
          <w:szCs w:val="32"/>
          <w:highlight w:val="none"/>
          <w:lang w:val="en-US" w:eastAsia="zh-CN"/>
        </w:rPr>
        <w:t>.</w:t>
      </w:r>
      <w:r>
        <w:rPr>
          <w:rFonts w:hint="eastAsia" w:ascii="仿宋_GB2312" w:hAnsi="仿宋" w:eastAsia="仿宋_GB2312"/>
          <w:sz w:val="32"/>
          <w:szCs w:val="32"/>
          <w:highlight w:val="none"/>
        </w:rPr>
        <w:t>0</w:t>
      </w:r>
      <w:r>
        <w:rPr>
          <w:rFonts w:hint="eastAsia" w:ascii="仿宋_GB2312" w:hAnsi="仿宋"/>
          <w:sz w:val="32"/>
          <w:szCs w:val="32"/>
          <w:highlight w:val="none"/>
          <w:lang w:val="en-US" w:eastAsia="zh-CN"/>
        </w:rPr>
        <w:t>2</w:t>
      </w:r>
      <w:r>
        <w:rPr>
          <w:rFonts w:hint="eastAsia" w:ascii="仿宋" w:hAnsi="仿宋" w:eastAsia="仿宋" w:cs="Times New Roman"/>
          <w:kern w:val="2"/>
          <w:sz w:val="32"/>
          <w:szCs w:val="24"/>
          <w:highlight w:val="none"/>
          <w:u w:val="none"/>
          <w:shd w:val="clear" w:color="auto" w:fill="auto"/>
          <w:lang w:val="en-US" w:eastAsia="zh-CN" w:bidi="ar-SA"/>
        </w:rPr>
        <w:t>万元，是为保障各部门正常运转、完成日常工作任务而发生的各项支出，主要包括工资福利支出870.3万元，商品和服务支出256.31万元，对个人和家庭支出49.41万元，“三公”经费支出</w:t>
      </w:r>
      <w:r>
        <w:rPr>
          <w:rFonts w:hint="eastAsia" w:ascii="仿宋_GB2312" w:hAnsi="仿宋" w:cs="仿宋"/>
          <w:color w:val="000000"/>
          <w:sz w:val="32"/>
          <w:szCs w:val="32"/>
          <w:highlight w:val="none"/>
          <w:lang w:val="en-US" w:eastAsia="zh-CN"/>
        </w:rPr>
        <w:t>27.57</w:t>
      </w:r>
      <w:r>
        <w:rPr>
          <w:rFonts w:hint="eastAsia" w:ascii="仿宋" w:hAnsi="仿宋" w:eastAsia="仿宋" w:cs="Times New Roman"/>
          <w:kern w:val="2"/>
          <w:sz w:val="32"/>
          <w:szCs w:val="24"/>
          <w:highlight w:val="none"/>
          <w:u w:val="none"/>
          <w:shd w:val="clear" w:color="auto" w:fill="auto"/>
          <w:lang w:val="en-US" w:eastAsia="zh-CN" w:bidi="ar-SA"/>
        </w:rPr>
        <w:t>万元。</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default"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highlight w:val="none"/>
          <w:u w:val="none"/>
          <w:shd w:val="clear" w:color="auto" w:fill="auto"/>
          <w:lang w:val="en-US" w:eastAsia="zh-CN" w:bidi="ar-SA"/>
        </w:rPr>
        <w:t>（2）项目支出584.93万元，包含：2022年初预算乡镇财政税收收入体制结算经费61万元；2021年县乡解困资金30万元；2021年预算差别性公用经费增补30万元；2021年10月-12月工资增资5.6781万元；2022年1月-12月安化县机关事业单位工作人员工资调整0.3322万元；2021年绩效奖励53.54万元；2022</w:t>
      </w:r>
      <w:r>
        <w:rPr>
          <w:rFonts w:hint="eastAsia" w:ascii="仿宋" w:hAnsi="仿宋" w:eastAsia="仿宋" w:cs="Times New Roman"/>
          <w:kern w:val="2"/>
          <w:sz w:val="32"/>
          <w:szCs w:val="24"/>
          <w:u w:val="none"/>
          <w:shd w:val="clear" w:color="auto" w:fill="auto"/>
          <w:lang w:val="en-US" w:eastAsia="zh-CN" w:bidi="ar-SA"/>
        </w:rPr>
        <w:t>年抗旱救灾资金8.37万元；2020年省对市县结算补助：滔溪镇长乐社区道路硬化等基础设施建设10万元；2021年革命老区资金（安财【2021】35号）10万元；2021年度全市信访“三无”乡镇创建奖励经费2万元；2021年度乡镇财政所综合评估先进单位8万元；2021年标兵、示范财政所创建专项经费10万元；2021年非税收入结算-字12号2.24万元；长乐社区交通建设10万元；乡镇财政监管经费3万元；2022年度湖南省乡镇财政监管资金8万元；2021年乡镇财政建设资金3万元；信息化建设补助12万元；英家村公路维修3万元；水利建设资金17万元；2021年村级运转经费-村级公用经费10.3988万元；2021年村级组织运转绩效奖励资金4万元；2022年上半年村级组织运转保障经31.7万元；2022年村级组织运转保障经费公用经费结算15.7万元；2021年度化债资金（村级综合服务平台建设40万元等。</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default"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（三）部门整体支出绩效目标设立情况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default"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滔溪镇人民政府2022年度制定了长期绩效目标和年度绩效目标。</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default"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长期绩效目标为：在县委、县政府的正确领导下，根据党的路线、方针、政策，制定并落实本行政区域的经济计划和措施，发展教育、卫生、科技、民政、广播电视、文化、体育、人居环境整治、扶贫及乡村振兴事业。全力搞好党建工作，提高全体党员乃至全镇人民的党性修养、提升自身素质，以党建促扶贫、促发展。加强计划生育工作、推进社会保障、社会福利事业和养老保险等工作。承担国有资产、集体资产管理、监督及增值保值责任。加强镇级财政的监督和管理。开展社会主义民主和法制的宣传教育，保障公民的权利，打击违法犯罪，维护社会稳定，全面提高人民群众的生活水平和生活质量服务群众。</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2、年度绩效目标为根据年度工作思路，全力完成年度目标，为全镇的工作计划服务。</w:t>
      </w:r>
    </w:p>
    <w:p>
      <w:pPr>
        <w:widowControl/>
        <w:spacing w:line="594" w:lineRule="exact"/>
        <w:ind w:firstLine="640" w:firstLineChars="200"/>
        <w:rPr>
          <w:kern w:val="0"/>
          <w:szCs w:val="32"/>
        </w:rPr>
      </w:pPr>
      <w:r>
        <w:rPr>
          <w:rFonts w:eastAsia="黑体"/>
          <w:bCs/>
          <w:kern w:val="0"/>
          <w:szCs w:val="32"/>
        </w:rPr>
        <w:t>二、部门整体支出管理及使用情况分析</w:t>
      </w:r>
    </w:p>
    <w:p>
      <w:pPr>
        <w:widowControl/>
        <w:spacing w:line="594" w:lineRule="exact"/>
        <w:ind w:firstLine="640" w:firstLineChars="200"/>
        <w:rPr>
          <w:rFonts w:eastAsia="楷体_GB2312"/>
          <w:kern w:val="0"/>
          <w:szCs w:val="32"/>
        </w:rPr>
      </w:pPr>
      <w:r>
        <w:rPr>
          <w:rFonts w:eastAsia="楷体_GB2312"/>
          <w:kern w:val="0"/>
          <w:szCs w:val="32"/>
        </w:rPr>
        <w:t>（一）基本支出</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Times New Roman"/>
          <w:kern w:val="2"/>
          <w:sz w:val="32"/>
          <w:szCs w:val="24"/>
          <w:highlight w:val="none"/>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基本支出</w:t>
      </w:r>
      <w:r>
        <w:rPr>
          <w:rFonts w:hint="eastAsia" w:ascii="仿宋_GB2312" w:hAnsi="仿宋" w:eastAsia="仿宋_GB2312"/>
          <w:sz w:val="32"/>
          <w:szCs w:val="32"/>
        </w:rPr>
        <w:t>1176</w:t>
      </w:r>
      <w:r>
        <w:rPr>
          <w:rFonts w:hint="eastAsia" w:ascii="仿宋_GB2312" w:hAnsi="仿宋" w:eastAsia="仿宋_GB2312"/>
          <w:sz w:val="32"/>
          <w:szCs w:val="32"/>
          <w:lang w:val="en-US" w:eastAsia="zh-CN"/>
        </w:rPr>
        <w:t>.</w:t>
      </w:r>
      <w:r>
        <w:rPr>
          <w:rFonts w:hint="eastAsia" w:ascii="仿宋_GB2312" w:hAnsi="仿宋" w:eastAsia="仿宋_GB2312"/>
          <w:sz w:val="32"/>
          <w:szCs w:val="32"/>
        </w:rPr>
        <w:t>0</w:t>
      </w:r>
      <w:r>
        <w:rPr>
          <w:rFonts w:hint="eastAsia" w:ascii="仿宋_GB2312" w:hAnsi="仿宋"/>
          <w:sz w:val="32"/>
          <w:szCs w:val="32"/>
          <w:lang w:val="en-US" w:eastAsia="zh-CN"/>
        </w:rPr>
        <w:t>2</w:t>
      </w:r>
      <w:r>
        <w:rPr>
          <w:rFonts w:hint="eastAsia" w:ascii="仿宋" w:hAnsi="仿宋" w:eastAsia="仿宋" w:cs="Times New Roman"/>
          <w:kern w:val="2"/>
          <w:sz w:val="32"/>
          <w:szCs w:val="24"/>
          <w:u w:val="none"/>
          <w:shd w:val="clear" w:color="auto" w:fill="auto"/>
          <w:lang w:val="en-US" w:eastAsia="zh-CN" w:bidi="ar-SA"/>
        </w:rPr>
        <w:t>万元，是为保障各部门正常运转、完成日常工作任务而发生的各项支出，主要包括工资福利支出870.3万元，商品和服务支出256.31万元，对个人和家庭支出49.41万元，“三公”经费支</w:t>
      </w:r>
      <w:r>
        <w:rPr>
          <w:rFonts w:hint="eastAsia" w:ascii="仿宋" w:hAnsi="仿宋" w:eastAsia="仿宋" w:cs="Times New Roman"/>
          <w:kern w:val="2"/>
          <w:sz w:val="32"/>
          <w:szCs w:val="24"/>
          <w:highlight w:val="none"/>
          <w:u w:val="none"/>
          <w:shd w:val="clear" w:color="auto" w:fill="auto"/>
          <w:lang w:val="en-US" w:eastAsia="zh-CN" w:bidi="ar-SA"/>
        </w:rPr>
        <w:t>出</w:t>
      </w:r>
      <w:r>
        <w:rPr>
          <w:rFonts w:hint="eastAsia" w:ascii="仿宋_GB2312" w:hAnsi="仿宋" w:cs="仿宋"/>
          <w:color w:val="000000"/>
          <w:sz w:val="32"/>
          <w:szCs w:val="32"/>
          <w:highlight w:val="none"/>
          <w:lang w:val="en-US" w:eastAsia="zh-CN"/>
        </w:rPr>
        <w:t>27.57</w:t>
      </w:r>
      <w:r>
        <w:rPr>
          <w:rFonts w:hint="eastAsia" w:ascii="仿宋" w:hAnsi="仿宋" w:eastAsia="仿宋" w:cs="Times New Roman"/>
          <w:kern w:val="2"/>
          <w:sz w:val="32"/>
          <w:szCs w:val="24"/>
          <w:highlight w:val="none"/>
          <w:u w:val="none"/>
          <w:shd w:val="clear" w:color="auto" w:fill="auto"/>
          <w:lang w:val="en-US" w:eastAsia="zh-CN" w:bidi="ar-SA"/>
        </w:rPr>
        <w:t>万元。</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Times New Roman"/>
          <w:kern w:val="2"/>
          <w:sz w:val="32"/>
          <w:szCs w:val="24"/>
          <w:highlight w:val="none"/>
          <w:u w:val="none"/>
          <w:shd w:val="clear" w:color="auto" w:fill="auto"/>
          <w:lang w:val="en-US" w:eastAsia="zh-CN" w:bidi="ar-SA"/>
        </w:rPr>
      </w:pPr>
      <w:r>
        <w:rPr>
          <w:rFonts w:hint="eastAsia" w:ascii="仿宋" w:hAnsi="仿宋" w:eastAsia="仿宋" w:cs="Times New Roman"/>
          <w:kern w:val="2"/>
          <w:sz w:val="32"/>
          <w:szCs w:val="24"/>
          <w:highlight w:val="none"/>
          <w:u w:val="none"/>
          <w:shd w:val="clear" w:color="auto" w:fill="auto"/>
          <w:lang w:val="en-US" w:eastAsia="zh-CN" w:bidi="ar-SA"/>
        </w:rPr>
        <w:t>“三公”经费支出情况：2022年，</w:t>
      </w:r>
      <w:r>
        <w:rPr>
          <w:rFonts w:hint="eastAsia" w:ascii="仿宋_GB2312" w:hAnsi="仿宋" w:eastAsia="仿宋_GB2312" w:cs="仿宋"/>
          <w:color w:val="000000"/>
          <w:sz w:val="32"/>
          <w:szCs w:val="32"/>
          <w:highlight w:val="none"/>
          <w:lang w:val="en-US" w:eastAsia="zh-CN"/>
        </w:rPr>
        <w:t>“三公”经费支出</w:t>
      </w:r>
      <w:r>
        <w:rPr>
          <w:rFonts w:hint="eastAsia" w:ascii="仿宋_GB2312" w:hAnsi="仿宋" w:cs="仿宋"/>
          <w:color w:val="000000"/>
          <w:sz w:val="32"/>
          <w:szCs w:val="32"/>
          <w:highlight w:val="none"/>
          <w:lang w:val="en-US" w:eastAsia="zh-CN"/>
        </w:rPr>
        <w:t>27.57</w:t>
      </w:r>
      <w:r>
        <w:rPr>
          <w:rFonts w:hint="eastAsia" w:ascii="仿宋_GB2312" w:hAnsi="仿宋" w:eastAsia="仿宋_GB2312" w:cs="仿宋"/>
          <w:color w:val="000000"/>
          <w:sz w:val="32"/>
          <w:szCs w:val="32"/>
          <w:highlight w:val="none"/>
          <w:lang w:val="en-US" w:eastAsia="zh-CN"/>
        </w:rPr>
        <w:t>万元，比上年减少</w:t>
      </w:r>
      <w:r>
        <w:rPr>
          <w:rFonts w:hint="eastAsia" w:ascii="仿宋_GB2312" w:hAnsi="仿宋" w:cs="仿宋"/>
          <w:color w:val="000000"/>
          <w:sz w:val="32"/>
          <w:szCs w:val="32"/>
          <w:highlight w:val="none"/>
          <w:lang w:val="en-US" w:eastAsia="zh-CN"/>
        </w:rPr>
        <w:t>10.44</w:t>
      </w:r>
      <w:r>
        <w:rPr>
          <w:rFonts w:hint="eastAsia" w:ascii="仿宋_GB2312" w:hAnsi="仿宋" w:eastAsia="仿宋_GB2312" w:cs="仿宋"/>
          <w:color w:val="000000"/>
          <w:sz w:val="32"/>
          <w:szCs w:val="32"/>
          <w:highlight w:val="none"/>
          <w:lang w:val="en-US" w:eastAsia="zh-CN"/>
        </w:rPr>
        <w:t>万元，比上年减少</w:t>
      </w:r>
      <w:r>
        <w:rPr>
          <w:rFonts w:hint="eastAsia" w:ascii="仿宋_GB2312" w:hAnsi="仿宋" w:cs="仿宋"/>
          <w:color w:val="000000"/>
          <w:sz w:val="32"/>
          <w:szCs w:val="32"/>
          <w:highlight w:val="none"/>
          <w:lang w:val="en-US" w:eastAsia="zh-CN"/>
        </w:rPr>
        <w:t>27.5</w:t>
      </w:r>
      <w:r>
        <w:rPr>
          <w:rFonts w:hint="eastAsia" w:ascii="仿宋_GB2312" w:hAnsi="仿宋" w:eastAsia="仿宋_GB2312" w:cs="仿宋"/>
          <w:color w:val="000000"/>
          <w:sz w:val="32"/>
          <w:szCs w:val="32"/>
          <w:highlight w:val="none"/>
          <w:lang w:val="en-US" w:eastAsia="zh-CN"/>
        </w:rPr>
        <w:t>%，减少的主要原因是</w:t>
      </w:r>
      <w:r>
        <w:rPr>
          <w:rFonts w:hint="eastAsia" w:ascii="华文仿宋" w:hAnsi="华文仿宋" w:eastAsia="华文仿宋"/>
          <w:sz w:val="32"/>
          <w:szCs w:val="24"/>
          <w:highlight w:val="none"/>
          <w:lang w:val="en-US" w:eastAsia="zh-CN"/>
        </w:rPr>
        <w:t>严格贯彻中央八项规定精神，每公务接待必须要求被接待单位出具接待公函及相关文件等，并规范接待标准，杜绝了乱接待乱支出行为</w:t>
      </w:r>
      <w:r>
        <w:rPr>
          <w:rFonts w:hint="eastAsia" w:ascii="仿宋_GB2312" w:hAnsi="仿宋" w:eastAsia="仿宋_GB2312"/>
          <w:sz w:val="32"/>
          <w:szCs w:val="32"/>
          <w:highlight w:val="none"/>
          <w:lang w:eastAsia="zh-CN"/>
        </w:rPr>
        <w:t>。</w:t>
      </w:r>
      <w:r>
        <w:rPr>
          <w:rFonts w:hint="eastAsia" w:ascii="仿宋" w:hAnsi="仿宋" w:eastAsia="仿宋" w:cs="Times New Roman"/>
          <w:kern w:val="2"/>
          <w:sz w:val="32"/>
          <w:szCs w:val="24"/>
          <w:highlight w:val="none"/>
          <w:u w:val="none"/>
          <w:shd w:val="clear" w:color="auto" w:fill="auto"/>
          <w:lang w:val="zh-CN" w:eastAsia="zh-CN" w:bidi="ar-SA"/>
        </w:rPr>
        <w:t>其中：</w:t>
      </w:r>
      <w:r>
        <w:rPr>
          <w:rFonts w:hint="eastAsia" w:ascii="华文仿宋" w:hAnsi="华文仿宋" w:eastAsia="华文仿宋"/>
          <w:b/>
          <w:sz w:val="32"/>
          <w:szCs w:val="24"/>
          <w:highlight w:val="none"/>
          <w:lang w:val="zh-CN"/>
        </w:rPr>
        <w:t>公务接待费</w:t>
      </w:r>
      <w:r>
        <w:rPr>
          <w:rFonts w:hint="eastAsia" w:ascii="华文仿宋" w:hAnsi="华文仿宋" w:eastAsia="华文仿宋"/>
          <w:sz w:val="32"/>
          <w:szCs w:val="24"/>
          <w:highlight w:val="none"/>
          <w:lang w:val="en-US"/>
        </w:rPr>
        <w:t>完成</w:t>
      </w:r>
      <w:r>
        <w:rPr>
          <w:rFonts w:hint="eastAsia" w:ascii="仿宋_GB2312" w:hAnsi="仿宋" w:cs="仿宋"/>
          <w:color w:val="000000"/>
          <w:sz w:val="32"/>
          <w:szCs w:val="32"/>
          <w:highlight w:val="none"/>
          <w:lang w:val="en-US" w:eastAsia="zh-CN"/>
        </w:rPr>
        <w:t>22.57</w:t>
      </w:r>
      <w:r>
        <w:rPr>
          <w:rFonts w:hint="eastAsia" w:ascii="华文仿宋" w:hAnsi="华文仿宋" w:eastAsia="华文仿宋"/>
          <w:sz w:val="32"/>
          <w:szCs w:val="24"/>
          <w:highlight w:val="none"/>
          <w:lang w:val="en-US" w:eastAsia="zh-CN"/>
        </w:rPr>
        <w:t>万</w:t>
      </w:r>
      <w:r>
        <w:rPr>
          <w:rFonts w:hint="eastAsia" w:ascii="华文仿宋" w:hAnsi="华文仿宋" w:eastAsia="华文仿宋"/>
          <w:sz w:val="32"/>
          <w:szCs w:val="24"/>
          <w:highlight w:val="none"/>
          <w:lang w:val="en-US"/>
        </w:rPr>
        <w:t>元，比上年减</w:t>
      </w:r>
      <w:r>
        <w:rPr>
          <w:rFonts w:hint="eastAsia" w:ascii="华文仿宋" w:hAnsi="华文仿宋" w:eastAsia="华文仿宋"/>
          <w:sz w:val="32"/>
          <w:szCs w:val="24"/>
          <w:highlight w:val="none"/>
          <w:lang w:val="en-US" w:eastAsia="zh-CN"/>
        </w:rPr>
        <w:t>10.44万</w:t>
      </w:r>
      <w:r>
        <w:rPr>
          <w:rFonts w:hint="eastAsia" w:ascii="华文仿宋" w:hAnsi="华文仿宋" w:eastAsia="华文仿宋"/>
          <w:sz w:val="32"/>
          <w:szCs w:val="24"/>
          <w:highlight w:val="none"/>
          <w:lang w:val="en-US"/>
        </w:rPr>
        <w:t>元，</w:t>
      </w:r>
      <w:r>
        <w:rPr>
          <w:rFonts w:hint="eastAsia" w:ascii="华文仿宋" w:hAnsi="华文仿宋" w:eastAsia="华文仿宋"/>
          <w:b/>
          <w:sz w:val="32"/>
          <w:szCs w:val="24"/>
          <w:highlight w:val="none"/>
          <w:lang w:val="zh-CN"/>
        </w:rPr>
        <w:t>公务用车购置及运行维护费</w:t>
      </w:r>
      <w:r>
        <w:rPr>
          <w:rFonts w:hint="eastAsia" w:ascii="华文仿宋" w:hAnsi="华文仿宋" w:eastAsia="华文仿宋"/>
          <w:sz w:val="32"/>
          <w:szCs w:val="24"/>
          <w:highlight w:val="none"/>
          <w:lang w:val="en-US"/>
        </w:rPr>
        <w:t>完成</w:t>
      </w:r>
      <w:r>
        <w:rPr>
          <w:rFonts w:hint="eastAsia" w:ascii="华文仿宋" w:hAnsi="华文仿宋" w:eastAsia="华文仿宋"/>
          <w:sz w:val="32"/>
          <w:szCs w:val="24"/>
          <w:highlight w:val="none"/>
          <w:lang w:val="en-US" w:eastAsia="zh-CN"/>
        </w:rPr>
        <w:t>5万</w:t>
      </w:r>
      <w:r>
        <w:rPr>
          <w:rFonts w:hint="eastAsia" w:ascii="华文仿宋" w:hAnsi="华文仿宋" w:eastAsia="华文仿宋"/>
          <w:sz w:val="32"/>
          <w:szCs w:val="24"/>
          <w:highlight w:val="none"/>
          <w:lang w:val="en-US"/>
        </w:rPr>
        <w:t>元，比上年</w:t>
      </w:r>
      <w:r>
        <w:rPr>
          <w:rFonts w:hint="eastAsia" w:ascii="华文仿宋" w:hAnsi="华文仿宋" w:eastAsia="华文仿宋"/>
          <w:sz w:val="32"/>
          <w:szCs w:val="24"/>
          <w:highlight w:val="none"/>
          <w:lang w:val="en-US" w:eastAsia="zh-CN"/>
        </w:rPr>
        <w:t>减少0万</w:t>
      </w:r>
      <w:r>
        <w:rPr>
          <w:rFonts w:hint="eastAsia" w:ascii="华文仿宋" w:hAnsi="华文仿宋" w:eastAsia="华文仿宋"/>
          <w:sz w:val="32"/>
          <w:szCs w:val="24"/>
          <w:highlight w:val="none"/>
          <w:lang w:val="en-US"/>
        </w:rPr>
        <w:t>元，</w:t>
      </w:r>
      <w:r>
        <w:rPr>
          <w:rFonts w:hint="eastAsia" w:ascii="华文仿宋" w:hAnsi="华文仿宋" w:eastAsia="华文仿宋"/>
          <w:sz w:val="32"/>
          <w:szCs w:val="24"/>
          <w:highlight w:val="none"/>
          <w:lang w:val="en-US" w:eastAsia="zh-CN"/>
        </w:rPr>
        <w:t>减少0</w:t>
      </w:r>
      <w:r>
        <w:rPr>
          <w:rFonts w:hint="eastAsia" w:ascii="华文仿宋" w:hAnsi="华文仿宋" w:eastAsia="华文仿宋"/>
          <w:sz w:val="32"/>
          <w:szCs w:val="24"/>
          <w:highlight w:val="none"/>
          <w:lang w:val="en-US"/>
        </w:rPr>
        <w:t>%</w:t>
      </w:r>
      <w:r>
        <w:rPr>
          <w:rFonts w:hint="eastAsia" w:ascii="华文仿宋" w:hAnsi="华文仿宋" w:eastAsia="华文仿宋"/>
          <w:sz w:val="32"/>
          <w:szCs w:val="24"/>
          <w:highlight w:val="none"/>
          <w:lang w:val="en-US" w:eastAsia="zh-CN"/>
        </w:rPr>
        <w:t>，</w:t>
      </w:r>
    </w:p>
    <w:p>
      <w:pPr>
        <w:widowControl/>
        <w:tabs>
          <w:tab w:val="left" w:pos="3396"/>
        </w:tabs>
        <w:spacing w:line="594" w:lineRule="exact"/>
        <w:ind w:firstLine="640" w:firstLineChars="200"/>
        <w:rPr>
          <w:rFonts w:eastAsia="楷体_GB2312"/>
          <w:kern w:val="0"/>
          <w:szCs w:val="32"/>
        </w:rPr>
      </w:pPr>
      <w:r>
        <w:rPr>
          <w:rFonts w:eastAsia="楷体_GB2312"/>
          <w:kern w:val="0"/>
          <w:szCs w:val="32"/>
        </w:rPr>
        <w:t>（二）项目支出</w:t>
      </w:r>
      <w:r>
        <w:rPr>
          <w:rFonts w:eastAsia="楷体_GB2312"/>
          <w:kern w:val="0"/>
          <w:szCs w:val="32"/>
        </w:rPr>
        <w:tab/>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default"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项目支出584.926733万元，包含：2021年初预算乡镇财政税收收入体制结算经费61万元；2021年县乡解困资金30万元；2021年预算差别性公用经费增补30万元；2021年10月-12月工资增资5.6781万元；2022年1月-12月安化县机关事业单位工作人员工资调整0.3322万元；2021年绩效奖励53.54万元；2022年抗旱救灾资金8.37万元；2020年省对市县结算补助：滔溪镇长乐社区道路硬化等基础设施建设10万元；2021年革命老区资金（安财【2021】35号）10万元；2021年度全市信访“三无”乡镇创建奖励经费2万元；2021年度乡镇财政所综合评估先进单位8万元；2021年标兵、示范财政所创建专项经费10万元；2021年非税收入结算-字12号2.24万元；长乐社区交通建设10万元；乡镇财政监管经费3万元；2022年度湖南省乡镇财政监管资金8万元；2021年乡镇财政建设资金3万元；信息化建设补助12万元；英家村公路维修3万元；水利建设资金17万元；2021年村级运转经费-村级公用经费10.3988万元；2021年村级组织运转绩效奖励资金4万元；2022年上半年村级组织运转保障经31.7万元；2022年村级组织运转保障经费公用经费结算15.7万元；2021年度化债资金（村级综合服务平台建设40万元等。</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部门整体支出主要用途：政府开展各项工作的支出。范围包括人员工资福利支出、公务费用等。整体支出资金使用原则：量入为出，勤俭理财，提高资金的使用效益，科学合理配置资金。支出使用全部通过镇政府财务会审小组审核批准开支，其中行政及参公人员工资人员支出由县工资中心统发，其他人员及其他政策性人员经费由财政所组织发放。对村民委员会的支出在年初由镇党委行文公告各单位，按季度或按月拨付到各单位及相关个人账户，保障村级基本运转。“三公”经费实行限额开支，按照县纪委要求，及不超过上年度标准执行列支。</w:t>
      </w:r>
    </w:p>
    <w:p>
      <w:pPr>
        <w:widowControl/>
        <w:spacing w:line="594" w:lineRule="exact"/>
        <w:ind w:firstLine="640" w:firstLineChars="200"/>
        <w:rPr>
          <w:rFonts w:eastAsia="黑体"/>
          <w:bCs/>
          <w:kern w:val="0"/>
          <w:szCs w:val="32"/>
        </w:rPr>
      </w:pPr>
      <w:r>
        <w:rPr>
          <w:rFonts w:eastAsia="黑体"/>
          <w:bCs/>
          <w:kern w:val="0"/>
          <w:szCs w:val="32"/>
        </w:rPr>
        <w:t>三、项目组织实施情况分析</w:t>
      </w:r>
    </w:p>
    <w:p>
      <w:pPr>
        <w:widowControl/>
        <w:spacing w:line="594" w:lineRule="exact"/>
        <w:ind w:firstLine="640" w:firstLineChars="200"/>
        <w:rPr>
          <w:rFonts w:hint="eastAsia" w:ascii="楷体" w:hAnsi="楷体" w:eastAsia="楷体" w:cs="楷体"/>
          <w:kern w:val="0"/>
          <w:szCs w:val="32"/>
        </w:rPr>
      </w:pPr>
      <w:r>
        <w:rPr>
          <w:rFonts w:hint="eastAsia" w:ascii="楷体" w:hAnsi="楷体" w:eastAsia="楷体" w:cs="楷体"/>
          <w:kern w:val="0"/>
          <w:szCs w:val="32"/>
        </w:rPr>
        <w:t>（一）项目组织情况分析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每个项目的实施和资金的安排使用实行四议两公开。即通过支委会议、村支两委会议、议事会议、党员大会议形成决议；实行决议公示公开，资金使用情况和项目实施结果公示公开。</w:t>
      </w:r>
    </w:p>
    <w:p>
      <w:pPr>
        <w:widowControl/>
        <w:numPr>
          <w:ilvl w:val="0"/>
          <w:numId w:val="2"/>
        </w:numPr>
        <w:spacing w:line="594" w:lineRule="exact"/>
        <w:ind w:left="0" w:leftChars="0" w:firstLine="640" w:firstLineChars="200"/>
        <w:rPr>
          <w:rFonts w:hint="eastAsia" w:ascii="楷体" w:hAnsi="楷体" w:eastAsia="楷体" w:cs="楷体"/>
          <w:kern w:val="0"/>
          <w:szCs w:val="32"/>
        </w:rPr>
      </w:pPr>
      <w:r>
        <w:rPr>
          <w:rFonts w:hint="eastAsia" w:ascii="楷体" w:hAnsi="楷体" w:eastAsia="楷体" w:cs="楷体"/>
          <w:kern w:val="0"/>
          <w:szCs w:val="32"/>
        </w:rPr>
        <w:t>项目管理情况分析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lang w:val="en-US" w:eastAsia="zh-CN"/>
        </w:rPr>
      </w:pPr>
      <w:r>
        <w:rPr>
          <w:rFonts w:hint="eastAsia" w:ascii="仿宋" w:hAnsi="仿宋" w:eastAsia="仿宋" w:cs="Times New Roman"/>
          <w:kern w:val="2"/>
          <w:sz w:val="32"/>
          <w:szCs w:val="24"/>
          <w:u w:val="none"/>
          <w:shd w:val="clear" w:color="auto" w:fill="auto"/>
          <w:lang w:val="en-US" w:eastAsia="zh-CN" w:bidi="ar-SA"/>
        </w:rPr>
        <w:t>1.全面推行信息公开和公告公示制度，健全财政专项扶贫资金信息公开制度，今年安排的县级资金计划全部在镇村精准扶贫公示栏公开公示。严格执行扶贫项目公示制度，使用财政专项扶贫资金的项目一律在村级公开栏公示资金来源、投资规模、项目内容、扶持对象等信息，接受群众监督，确保资金在阳光下运行。</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2.加强资金监管。镇纪检、乡村振兴、财政部门把工作重心放在加强资金项目监管上，严格按照文件要求履行监管职能，实现监督重点由事后督查向关口前移全过程监督，使资金监管贯穿于管理、审批、分配、拨付全过程，不留盲区。狠抓督查巡查，全年未发现利用资金、项目管理权，谋取私利或挪用扶贫资金的违规现象，同时开展了财政专项扶贫资金使用管理“回头看”。</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3.按照财政国库集中支付改革和财政国库管理制度的基本要求，开设一个“安化县滔溪镇人民政府代管资金财政专户”， 专门用于统筹整合使用财政涉农资金的核算，确保了资金款专用，确保了资金不被侵占、挪用、贪污，确保了资金安全高效运行。</w:t>
      </w:r>
    </w:p>
    <w:p>
      <w:pPr>
        <w:widowControl/>
        <w:spacing w:line="594" w:lineRule="exact"/>
        <w:ind w:firstLine="640" w:firstLineChars="200"/>
        <w:rPr>
          <w:rFonts w:eastAsia="黑体"/>
          <w:bCs/>
          <w:kern w:val="0"/>
          <w:szCs w:val="32"/>
        </w:rPr>
      </w:pPr>
      <w:r>
        <w:rPr>
          <w:rFonts w:eastAsia="黑体"/>
          <w:bCs/>
          <w:kern w:val="0"/>
          <w:szCs w:val="32"/>
        </w:rPr>
        <w:t>四、部门整体支出绩效情况分析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滔溪镇人民政府2022年度部门整体支出绩效评价指标表评分情况：绩效评价综合得分为99.8。</w:t>
      </w:r>
    </w:p>
    <w:p>
      <w:pPr>
        <w:widowControl/>
        <w:spacing w:line="594" w:lineRule="exact"/>
        <w:ind w:firstLine="640" w:firstLineChars="200"/>
        <w:rPr>
          <w:kern w:val="0"/>
          <w:szCs w:val="32"/>
        </w:rPr>
      </w:pPr>
      <w:r>
        <w:rPr>
          <w:rFonts w:hint="eastAsia" w:ascii="仿宋" w:hAnsi="仿宋" w:eastAsia="仿宋" w:cs="Times New Roman"/>
          <w:kern w:val="2"/>
          <w:sz w:val="32"/>
          <w:szCs w:val="24"/>
          <w:u w:val="none"/>
          <w:shd w:val="clear" w:color="auto" w:fill="auto"/>
          <w:lang w:val="en-US" w:eastAsia="zh-CN" w:bidi="ar-SA"/>
        </w:rPr>
        <w:t>2022年滔溪镇人民政府工作严格贯彻落实县委、县政府和上级主管部门的总体工作部署，根据年初工作规划及财政预算计划，务实有为，负重奋进，积极履职,强化管理，加强预算收支管理,建立健全内部管理制度,梳理内部管理流程，保障服务职能履职基本到位，保障了滔溪镇社会管理与发展的基本稳定，保持政府机关的稳定，专项经费得到了制度保障，各项工作目标任务基本圆满完成。预算管理方面，编制内在职人员控制率小于100%，支出总额控制在预算总额以内，其中“三公”经费比上年度减少10%。制度执行总体较为有效，但仍需进一步强化，资金使用管理需进一步加强。</w:t>
      </w:r>
    </w:p>
    <w:p>
      <w:pPr>
        <w:widowControl/>
        <w:spacing w:line="594" w:lineRule="exact"/>
        <w:ind w:firstLine="640" w:firstLineChars="200"/>
        <w:rPr>
          <w:kern w:val="0"/>
          <w:szCs w:val="32"/>
        </w:rPr>
      </w:pPr>
      <w:r>
        <w:rPr>
          <w:rFonts w:eastAsia="黑体"/>
          <w:bCs/>
          <w:kern w:val="0"/>
          <w:szCs w:val="32"/>
        </w:rPr>
        <w:t>五、绩效评价工作开展情况</w:t>
      </w:r>
    </w:p>
    <w:p>
      <w:pPr>
        <w:widowControl/>
        <w:spacing w:line="594" w:lineRule="exact"/>
        <w:ind w:firstLine="640" w:firstLineChars="200"/>
        <w:rPr>
          <w:kern w:val="0"/>
          <w:szCs w:val="32"/>
        </w:rPr>
      </w:pPr>
      <w:r>
        <w:rPr>
          <w:kern w:val="0"/>
          <w:szCs w:val="32"/>
        </w:rPr>
        <w:t>（一）绩效评价目的</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lang w:val="en-US" w:eastAsia="zh-CN"/>
        </w:rPr>
      </w:pPr>
      <w:r>
        <w:rPr>
          <w:rFonts w:ascii="Times New Roman" w:hAnsi="Times New Roman" w:eastAsia="仿宋_GB2312" w:cs="Times New Roman"/>
          <w:kern w:val="0"/>
          <w:sz w:val="32"/>
          <w:szCs w:val="32"/>
          <w:lang w:val="en-US" w:eastAsia="zh-CN" w:bidi="ar-SA"/>
        </w:rPr>
        <w:t>对</w:t>
      </w:r>
      <w:r>
        <w:rPr>
          <w:rFonts w:hint="eastAsia" w:cs="Times New Roman"/>
          <w:kern w:val="0"/>
          <w:sz w:val="32"/>
          <w:szCs w:val="32"/>
          <w:lang w:val="en-US" w:eastAsia="zh-CN" w:bidi="ar-SA"/>
        </w:rPr>
        <w:t>滔溪</w:t>
      </w:r>
      <w:r>
        <w:rPr>
          <w:rFonts w:ascii="Times New Roman" w:hAnsi="Times New Roman" w:eastAsia="仿宋_GB2312" w:cs="Times New Roman"/>
          <w:kern w:val="0"/>
          <w:sz w:val="32"/>
          <w:szCs w:val="32"/>
          <w:lang w:val="en-US" w:eastAsia="zh-CN" w:bidi="ar-SA"/>
        </w:rPr>
        <w:t>镇部门整体支出的经济性、效率性和效益性进行客观、公正的评价，评价我单位</w:t>
      </w:r>
      <w:r>
        <w:rPr>
          <w:rFonts w:hint="eastAsia" w:cs="Times New Roman"/>
          <w:kern w:val="0"/>
          <w:sz w:val="32"/>
          <w:szCs w:val="32"/>
          <w:lang w:val="en-US" w:eastAsia="zh-CN" w:bidi="ar-SA"/>
        </w:rPr>
        <w:t>2022</w:t>
      </w:r>
      <w:r>
        <w:rPr>
          <w:rFonts w:ascii="Times New Roman" w:hAnsi="Times New Roman" w:eastAsia="仿宋_GB2312" w:cs="Times New Roman"/>
          <w:kern w:val="0"/>
          <w:sz w:val="32"/>
          <w:szCs w:val="32"/>
          <w:lang w:val="en-US" w:eastAsia="zh-CN" w:bidi="ar-SA"/>
        </w:rPr>
        <w:t>年度部门整体支出绩效目标实现情况，根据评价结果提出改进和提高部门预算绩效管理的意见和建议，促进部门预算绩效管理水平的提升。</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kern w:val="0"/>
          <w:sz w:val="32"/>
          <w:szCs w:val="32"/>
          <w:lang w:val="en-US" w:eastAsia="zh-CN" w:bidi="ar-SA"/>
        </w:rPr>
      </w:pPr>
      <w:r>
        <w:rPr>
          <w:kern w:val="0"/>
          <w:szCs w:val="32"/>
        </w:rPr>
        <w:t>（二）绩效评价工作过程</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cs="Times New Roman"/>
          <w:kern w:val="0"/>
          <w:sz w:val="32"/>
          <w:szCs w:val="32"/>
          <w:lang w:val="en-US" w:eastAsia="zh-CN" w:bidi="ar-SA"/>
        </w:rPr>
        <w:t>滔溪</w:t>
      </w:r>
      <w:r>
        <w:rPr>
          <w:rFonts w:hint="eastAsia" w:ascii="Times New Roman" w:hAnsi="Times New Roman" w:eastAsia="仿宋_GB2312" w:cs="Times New Roman"/>
          <w:kern w:val="0"/>
          <w:sz w:val="32"/>
          <w:szCs w:val="32"/>
          <w:lang w:val="en-US" w:eastAsia="zh-CN" w:bidi="ar-SA"/>
        </w:rPr>
        <w:t>镇人民政府为贯彻落实全面实施绩效管理责任，进一步提高财政资源配置效率和资金使用效益，认真开展</w:t>
      </w:r>
      <w:r>
        <w:rPr>
          <w:rFonts w:hint="eastAsia" w:cs="Times New Roman"/>
          <w:kern w:val="0"/>
          <w:sz w:val="32"/>
          <w:szCs w:val="32"/>
          <w:lang w:val="en-US" w:eastAsia="zh-CN" w:bidi="ar-SA"/>
        </w:rPr>
        <w:t>2022</w:t>
      </w:r>
      <w:r>
        <w:rPr>
          <w:rFonts w:ascii="Times New Roman" w:hAnsi="Times New Roman" w:eastAsia="仿宋_GB2312" w:cs="Times New Roman"/>
          <w:kern w:val="0"/>
          <w:sz w:val="32"/>
          <w:szCs w:val="32"/>
          <w:lang w:val="en-US" w:eastAsia="zh-CN" w:bidi="ar-SA"/>
        </w:rPr>
        <w:t>年度部门整体支出绩效</w:t>
      </w:r>
      <w:r>
        <w:rPr>
          <w:rFonts w:hint="eastAsia" w:cs="Times New Roman"/>
          <w:kern w:val="0"/>
          <w:sz w:val="32"/>
          <w:szCs w:val="32"/>
          <w:lang w:val="en-US" w:eastAsia="zh-CN" w:bidi="ar-SA"/>
        </w:rPr>
        <w:t>自评工作</w:t>
      </w:r>
      <w:r>
        <w:rPr>
          <w:rFonts w:hint="eastAsia" w:ascii="Times New Roman" w:hAnsi="Times New Roman" w:eastAsia="仿宋_GB2312" w:cs="Times New Roman"/>
          <w:kern w:val="0"/>
          <w:sz w:val="32"/>
          <w:szCs w:val="32"/>
          <w:lang w:val="en-US" w:eastAsia="zh-CN" w:bidi="ar-SA"/>
        </w:rPr>
        <w:t>，成立自评考核小组：</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 xml:space="preserve">组 </w:t>
      </w:r>
      <w:r>
        <w:rPr>
          <w:rFonts w:hint="eastAsia"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长：</w:t>
      </w:r>
      <w:r>
        <w:rPr>
          <w:rFonts w:hint="eastAsia" w:cs="Times New Roman"/>
          <w:kern w:val="0"/>
          <w:sz w:val="32"/>
          <w:szCs w:val="32"/>
          <w:lang w:val="en-US" w:eastAsia="zh-CN" w:bidi="ar-SA"/>
        </w:rPr>
        <w:t>汤婧婷</w:t>
      </w:r>
      <w:r>
        <w:rPr>
          <w:rFonts w:hint="eastAsia" w:ascii="Times New Roman" w:hAnsi="Times New Roman" w:eastAsia="仿宋_GB2312" w:cs="Times New Roman"/>
          <w:kern w:val="0"/>
          <w:sz w:val="32"/>
          <w:szCs w:val="32"/>
          <w:lang w:val="en-US" w:eastAsia="zh-CN" w:bidi="ar-SA"/>
        </w:rPr>
        <w:t xml:space="preserve"> 镇长</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副组长：</w:t>
      </w:r>
      <w:r>
        <w:rPr>
          <w:rFonts w:hint="eastAsia" w:cs="Times New Roman"/>
          <w:kern w:val="0"/>
          <w:sz w:val="32"/>
          <w:szCs w:val="32"/>
          <w:lang w:val="en-US" w:eastAsia="zh-CN" w:bidi="ar-SA"/>
        </w:rPr>
        <w:t xml:space="preserve">谭慧 </w:t>
      </w:r>
      <w:r>
        <w:rPr>
          <w:rFonts w:hint="eastAsia" w:ascii="Times New Roman" w:hAnsi="Times New Roman" w:eastAsia="仿宋_GB2312" w:cs="Times New Roman"/>
          <w:kern w:val="0"/>
          <w:sz w:val="32"/>
          <w:szCs w:val="32"/>
          <w:lang w:val="en-US" w:eastAsia="zh-CN" w:bidi="ar-SA"/>
        </w:rPr>
        <w:t>纪委书记</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eastAsia" w:cs="Times New Roman"/>
          <w:kern w:val="0"/>
          <w:sz w:val="32"/>
          <w:szCs w:val="32"/>
          <w:lang w:val="en-US" w:eastAsia="zh-CN" w:bidi="ar-SA"/>
        </w:rPr>
        <w:t>副组长：黄志平 财政所所长</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 xml:space="preserve">组 </w:t>
      </w:r>
      <w:r>
        <w:rPr>
          <w:rFonts w:hint="eastAsia"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t>员：</w:t>
      </w:r>
      <w:r>
        <w:rPr>
          <w:rFonts w:hint="eastAsia" w:cs="Times New Roman"/>
          <w:kern w:val="0"/>
          <w:sz w:val="32"/>
          <w:szCs w:val="32"/>
          <w:lang w:val="en-US" w:eastAsia="zh-CN" w:bidi="ar-SA"/>
        </w:rPr>
        <w:t xml:space="preserve">刘应阶 陶大海 文 侃 伍俊伟 朱果鹏  </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按照预算绩效体系，对</w:t>
      </w:r>
      <w:r>
        <w:rPr>
          <w:rFonts w:hint="eastAsia" w:cs="Times New Roman"/>
          <w:kern w:val="0"/>
          <w:sz w:val="32"/>
          <w:szCs w:val="32"/>
          <w:lang w:val="en-US" w:eastAsia="zh-CN" w:bidi="ar-SA"/>
        </w:rPr>
        <w:t>2022年</w:t>
      </w:r>
      <w:r>
        <w:rPr>
          <w:rFonts w:ascii="Times New Roman" w:hAnsi="Times New Roman" w:eastAsia="仿宋_GB2312" w:cs="Times New Roman"/>
          <w:kern w:val="0"/>
          <w:sz w:val="32"/>
          <w:szCs w:val="32"/>
          <w:lang w:val="en-US" w:eastAsia="zh-CN" w:bidi="ar-SA"/>
        </w:rPr>
        <w:t>部门整体支出</w:t>
      </w:r>
      <w:r>
        <w:rPr>
          <w:rFonts w:hint="eastAsia" w:ascii="Times New Roman" w:hAnsi="Times New Roman" w:eastAsia="仿宋_GB2312" w:cs="Times New Roman"/>
          <w:kern w:val="0"/>
          <w:sz w:val="32"/>
          <w:szCs w:val="32"/>
          <w:lang w:val="en-US" w:eastAsia="zh-CN" w:bidi="ar-SA"/>
        </w:rPr>
        <w:t>进行评价</w:t>
      </w:r>
      <w:r>
        <w:rPr>
          <w:rFonts w:hint="eastAsia" w:cs="Times New Roman"/>
          <w:kern w:val="0"/>
          <w:sz w:val="32"/>
          <w:szCs w:val="32"/>
          <w:lang w:val="en-US" w:eastAsia="zh-CN" w:bidi="ar-SA"/>
        </w:rPr>
        <w:t>。</w:t>
      </w:r>
    </w:p>
    <w:p>
      <w:pPr>
        <w:widowControl/>
        <w:numPr>
          <w:ilvl w:val="0"/>
          <w:numId w:val="3"/>
        </w:numPr>
        <w:spacing w:line="594" w:lineRule="exact"/>
        <w:ind w:firstLine="640" w:firstLineChars="200"/>
        <w:rPr>
          <w:rFonts w:eastAsia="黑体"/>
          <w:bCs/>
          <w:kern w:val="0"/>
          <w:szCs w:val="32"/>
        </w:rPr>
      </w:pPr>
      <w:r>
        <w:rPr>
          <w:rFonts w:eastAsia="黑体"/>
          <w:bCs/>
          <w:kern w:val="0"/>
          <w:szCs w:val="32"/>
        </w:rPr>
        <w:t>存在的主要问题</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eastAsia" w:cs="Times New Roman"/>
          <w:kern w:val="0"/>
          <w:sz w:val="32"/>
          <w:szCs w:val="32"/>
          <w:lang w:val="en-US" w:eastAsia="zh-CN" w:bidi="ar-SA"/>
        </w:rPr>
        <w:t>2022</w:t>
      </w:r>
      <w:r>
        <w:rPr>
          <w:rFonts w:hint="eastAsia" w:ascii="Times New Roman" w:hAnsi="Times New Roman" w:eastAsia="仿宋_GB2312" w:cs="Times New Roman"/>
          <w:kern w:val="0"/>
          <w:sz w:val="32"/>
          <w:szCs w:val="32"/>
          <w:lang w:val="en-US" w:eastAsia="zh-CN" w:bidi="ar-SA"/>
        </w:rPr>
        <w:t>年，我镇努力做好财政预算收入、支出以及各项目的管理工作，将预算及时公开到相关的信息网络平台，对预算的资金进行全方位的监督和管理，使每一笔资金都能起到最大的使用效益。部门预算绩效管理，是我国财政部门的重点关注部分，一个完整有效的绩效管理方案，需要以预算为导向，结合我镇实际过程中支出进行合理化分配，以达到合理高效地运用资金、提升资金的产出结果、节约成本与资源、提高部门的办事效率的目的。但在实际执行过程中，绩效管理的机制仍不够完善，体系设置和人员水平也顾在诸多问题，主要存在的问题：</w:t>
      </w:r>
      <w:r>
        <w:rPr>
          <w:rFonts w:hint="eastAsia" w:cs="Times New Roman"/>
          <w:kern w:val="0"/>
          <w:sz w:val="32"/>
          <w:szCs w:val="32"/>
          <w:lang w:val="en-US" w:eastAsia="zh-CN" w:bidi="ar-SA"/>
        </w:rPr>
        <w:t>一</w:t>
      </w:r>
      <w:r>
        <w:rPr>
          <w:rFonts w:hint="eastAsia" w:ascii="Times New Roman" w:hAnsi="Times New Roman" w:eastAsia="仿宋_GB2312" w:cs="Times New Roman"/>
          <w:kern w:val="0"/>
          <w:sz w:val="32"/>
          <w:szCs w:val="32"/>
          <w:lang w:val="en-US" w:eastAsia="zh-CN" w:bidi="ar-SA"/>
        </w:rPr>
        <w:t>是部门预算绩效管理的保障机制不完善；</w:t>
      </w:r>
      <w:r>
        <w:rPr>
          <w:rFonts w:hint="eastAsia" w:cs="Times New Roman"/>
          <w:kern w:val="0"/>
          <w:sz w:val="32"/>
          <w:szCs w:val="32"/>
          <w:lang w:val="en-US" w:eastAsia="zh-CN" w:bidi="ar-SA"/>
        </w:rPr>
        <w:t>二</w:t>
      </w:r>
      <w:r>
        <w:rPr>
          <w:rFonts w:hint="eastAsia" w:ascii="Times New Roman" w:hAnsi="Times New Roman" w:eastAsia="仿宋_GB2312" w:cs="Times New Roman"/>
          <w:kern w:val="0"/>
          <w:sz w:val="32"/>
          <w:szCs w:val="32"/>
          <w:lang w:val="en-US" w:eastAsia="zh-CN" w:bidi="ar-SA"/>
        </w:rPr>
        <w:t>是部门预算绩效评估全系不完善；</w:t>
      </w:r>
      <w:r>
        <w:rPr>
          <w:rFonts w:hint="eastAsia" w:cs="Times New Roman"/>
          <w:kern w:val="0"/>
          <w:sz w:val="32"/>
          <w:szCs w:val="32"/>
          <w:lang w:val="en-US" w:eastAsia="zh-CN" w:bidi="ar-SA"/>
        </w:rPr>
        <w:t>三</w:t>
      </w:r>
      <w:r>
        <w:rPr>
          <w:rFonts w:hint="eastAsia" w:ascii="Times New Roman" w:hAnsi="Times New Roman" w:eastAsia="仿宋_GB2312" w:cs="Times New Roman"/>
          <w:kern w:val="0"/>
          <w:sz w:val="32"/>
          <w:szCs w:val="32"/>
          <w:lang w:val="en-US" w:eastAsia="zh-CN" w:bidi="ar-SA"/>
        </w:rPr>
        <w:t>是预算绩效管理从业人员的专业素质偏低。</w:t>
      </w:r>
    </w:p>
    <w:p>
      <w:pPr>
        <w:widowControl/>
        <w:spacing w:line="594" w:lineRule="exact"/>
        <w:ind w:firstLine="640" w:firstLineChars="200"/>
        <w:rPr>
          <w:rFonts w:eastAsia="黑体"/>
          <w:bCs/>
          <w:kern w:val="0"/>
          <w:szCs w:val="32"/>
        </w:rPr>
      </w:pPr>
      <w:r>
        <w:rPr>
          <w:rFonts w:eastAsia="黑体"/>
          <w:bCs/>
          <w:kern w:val="0"/>
          <w:szCs w:val="32"/>
        </w:rPr>
        <w:t>七、改进措施和有关建议</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针对以上存在的问题</w:t>
      </w:r>
      <w:r>
        <w:rPr>
          <w:rFonts w:hint="eastAsia" w:ascii="Times New Roman" w:hAnsi="Times New Roman" w:eastAsia="仿宋_GB2312" w:cs="Times New Roman"/>
          <w:kern w:val="0"/>
          <w:sz w:val="32"/>
          <w:szCs w:val="32"/>
          <w:lang w:val="en-US" w:eastAsia="zh-CN" w:bidi="ar-SA"/>
        </w:rPr>
        <w:t>，今后的改进方向：一是要建立健全部门预算绩效管理的法律法规体系；二是要完善预算绩效管理体系与指标评估体系；三是要提升绩效管理从业人员的专业素质和思想水平。</w:t>
      </w:r>
    </w:p>
    <w:p>
      <w:pPr>
        <w:spacing w:line="600" w:lineRule="exact"/>
        <w:jc w:val="center"/>
        <w:rPr>
          <w:rFonts w:hint="eastAsia"/>
          <w:kern w:val="0"/>
          <w:szCs w:val="32"/>
        </w:rPr>
      </w:pPr>
    </w:p>
    <w:p/>
    <w:sectPr>
      <w:footerReference r:id="rId3" w:type="default"/>
      <w:footerReference r:id="rId4" w:type="even"/>
      <w:pgSz w:w="11907" w:h="16840"/>
      <w:pgMar w:top="1440" w:right="1418" w:bottom="1440" w:left="1588" w:header="851" w:footer="1304" w:gutter="0"/>
      <w:pgNumType w:fmt="decimal"/>
      <w:cols w:space="720" w:num="1"/>
      <w:docGrid w:type="lines" w:linePitch="534"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rPr>
                              <w:rStyle w:val="10"/>
                              <w:rFonts w:hint="eastAsia"/>
                              <w:sz w:val="28"/>
                              <w:szCs w:val="28"/>
                            </w:rPr>
                          </w:pPr>
                          <w:r>
                            <w:rPr>
                              <w:rStyle w:val="10"/>
                              <w:rFonts w:hint="eastAsia"/>
                              <w:sz w:val="28"/>
                              <w:szCs w:val="28"/>
                            </w:rPr>
                            <w:t xml:space="preserve">— </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14</w:t>
                          </w:r>
                          <w:r>
                            <w:rPr>
                              <w:sz w:val="28"/>
                              <w:szCs w:val="28"/>
                            </w:rPr>
                            <w:fldChar w:fldCharType="end"/>
                          </w:r>
                          <w:r>
                            <w:rPr>
                              <w:rFonts w:hint="eastAsia"/>
                              <w:sz w:val="28"/>
                              <w:szCs w:val="28"/>
                            </w:rPr>
                            <w:t xml:space="preserve"> </w:t>
                          </w:r>
                          <w:r>
                            <w:rPr>
                              <w:rStyle w:val="10"/>
                              <w:rFonts w:hint="eastAsia"/>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jc w:val="center"/>
                      <w:rPr>
                        <w:rStyle w:val="10"/>
                        <w:rFonts w:hint="eastAsia"/>
                        <w:sz w:val="28"/>
                        <w:szCs w:val="28"/>
                      </w:rPr>
                    </w:pPr>
                    <w:r>
                      <w:rPr>
                        <w:rStyle w:val="10"/>
                        <w:rFonts w:hint="eastAsia"/>
                        <w:sz w:val="28"/>
                        <w:szCs w:val="28"/>
                      </w:rPr>
                      <w:t xml:space="preserve">— </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14</w:t>
                    </w:r>
                    <w:r>
                      <w:rPr>
                        <w:sz w:val="28"/>
                        <w:szCs w:val="28"/>
                      </w:rPr>
                      <w:fldChar w:fldCharType="end"/>
                    </w:r>
                    <w:r>
                      <w:rPr>
                        <w:rFonts w:hint="eastAsia"/>
                        <w:sz w:val="28"/>
                        <w:szCs w:val="28"/>
                      </w:rPr>
                      <w:t xml:space="preserve"> </w:t>
                    </w:r>
                    <w:r>
                      <w:rPr>
                        <w:rStyle w:val="10"/>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93C31"/>
    <w:multiLevelType w:val="singleLevel"/>
    <w:tmpl w:val="9A593C31"/>
    <w:lvl w:ilvl="0" w:tentative="0">
      <w:start w:val="1"/>
      <w:numFmt w:val="decimal"/>
      <w:suff w:val="nothing"/>
      <w:lvlText w:val="（%1）"/>
      <w:lvlJc w:val="left"/>
    </w:lvl>
  </w:abstractNum>
  <w:abstractNum w:abstractNumId="1">
    <w:nsid w:val="B2E59272"/>
    <w:multiLevelType w:val="singleLevel"/>
    <w:tmpl w:val="B2E59272"/>
    <w:lvl w:ilvl="0" w:tentative="0">
      <w:start w:val="6"/>
      <w:numFmt w:val="chineseCounting"/>
      <w:suff w:val="nothing"/>
      <w:lvlText w:val="%1、"/>
      <w:lvlJc w:val="left"/>
      <w:rPr>
        <w:rFonts w:hint="eastAsia"/>
      </w:rPr>
    </w:lvl>
  </w:abstractNum>
  <w:abstractNum w:abstractNumId="2">
    <w:nsid w:val="5440A37A"/>
    <w:multiLevelType w:val="singleLevel"/>
    <w:tmpl w:val="5440A37A"/>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YjE2YWE4ZTgwNWQxYjkxNzEzYzc4MTQ1MGU3ZmIifQ=="/>
  </w:docVars>
  <w:rsids>
    <w:rsidRoot w:val="44AF4D21"/>
    <w:rsid w:val="3EB434E7"/>
    <w:rsid w:val="41D62686"/>
    <w:rsid w:val="44AF4D21"/>
    <w:rsid w:val="53CC43C2"/>
    <w:rsid w:val="59C21551"/>
    <w:rsid w:val="59D032A0"/>
    <w:rsid w:val="5FF94A51"/>
    <w:rsid w:val="6FFE4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rPr>
      <w:rFonts w:ascii="Times New Roman" w:hAnsi="Times New Roman"/>
    </w:rPr>
  </w:style>
  <w:style w:type="paragraph" w:styleId="3">
    <w:name w:val="toc 5"/>
    <w:basedOn w:val="1"/>
    <w:next w:val="1"/>
    <w:unhideWhenUsed/>
    <w:qFormat/>
    <w:uiPriority w:val="39"/>
    <w:pPr>
      <w:ind w:left="1680" w:leftChars="800"/>
    </w:pPr>
    <w:rPr>
      <w:rFonts w:ascii="等线" w:hAnsi="等线" w:eastAsia="等线"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Body text|1"/>
    <w:basedOn w:val="1"/>
    <w:qFormat/>
    <w:uiPriority w:val="0"/>
    <w:pPr>
      <w:widowControl w:val="0"/>
      <w:shd w:val="clear" w:color="auto" w:fill="auto"/>
      <w:spacing w:line="434"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4034</Words>
  <Characters>4406</Characters>
  <Lines>0</Lines>
  <Paragraphs>0</Paragraphs>
  <TotalTime>18</TotalTime>
  <ScaleCrop>false</ScaleCrop>
  <LinksUpToDate>false</LinksUpToDate>
  <CharactersWithSpaces>4424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2022-07-19T07:53:00Z</dcterms:created>
  <dc:creator>生如摇滚</dc:creator>
  <cp:lastModifiedBy>Issey  Miyaki  .</cp:lastModifiedBy>
  <dcterms:modified xsi:type="dcterms:W3CDTF">2023-07-26T03:04:48Z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0FE115D1FC6B4A2CBF962F540B29C8CE_13</vt:lpwstr>
  </property>
</Properties>
</file>