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</w:t>
      </w:r>
      <w:r>
        <w:rPr>
          <w:rFonts w:hint="default" w:ascii="黑体" w:hAnsi="微软雅黑" w:eastAsia="黑体" w:cs="黑体"/>
          <w:kern w:val="2"/>
          <w:sz w:val="32"/>
          <w:szCs w:val="32"/>
          <w:shd w:val="clear" w:color="auto" w:fill="FFFFFF"/>
          <w:lang w:eastAsia="zh-CN" w:bidi="ar"/>
        </w:rPr>
        <w:t>安化县实验高级中学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安化县实验高级中学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安化县实验高级中学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所属事业单位未设置。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221.31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221.31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教育支出508.77万元，社会保障和就业支出88.40万元，卫生健康支出33.97万元，住房保障支出60.05万元。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221.31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221.31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221.31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增幅47.10%，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经费拨款增加221.31万元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691.18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教育支出508.77万元，社会保障和就业支出88.40万元，卫生健康支出33.97万元，住房保障支出60.05万元。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221.31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增幅47.10%，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是基本支出增加221.31万元，项目支出增加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6.30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0.24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3.96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691.18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691.18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1F21096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904627C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2023-10-11T08:25:56Z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